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rPr>
          <w:bCs/>
        </w:rPr>
      </w:pPr>
      <w:r>
        <w:rPr>
          <w:rFonts w:hint="eastAsia"/>
          <w:bCs/>
        </w:rPr>
        <w:t>公司代码：</w:t>
      </w:r>
      <w:sdt>
        <w:sdtPr>
          <w:rPr>
            <w:rFonts w:hint="eastAsia"/>
            <w:bCs/>
          </w:rPr>
          <w:alias w:val="公司代码"/>
          <w:tag w:val="_GBC_704b7b03ea3f4a93b8d4655a09b2ff61"/>
          <w:id w:val="25153430"/>
          <w:lock w:val="sdtLocked"/>
          <w:placeholder>
            <w:docPart w:val="GBC22222222222222222222222222222"/>
          </w:placeholder>
        </w:sdtPr>
        <w:sdtEndPr>
          <w:rPr>
            <w:rFonts w:hint="eastAsia"/>
            <w:bCs/>
          </w:rPr>
        </w:sdtEndPr>
        <w:sdtContent>
          <w:r>
            <w:rPr>
              <w:rFonts w:hint="eastAsia"/>
              <w:bCs/>
            </w:rPr>
            <w:t>601003</w:t>
          </w:r>
        </w:sdtContent>
      </w:sdt>
      <w:r>
        <w:rPr>
          <w:rFonts w:hint="eastAsia"/>
          <w:bCs/>
        </w:rPr>
        <w:t xml:space="preserve">                      　　　　　　　　　　公司简称：</w:t>
      </w:r>
      <w:sdt>
        <w:sdtPr>
          <w:rPr>
            <w:rFonts w:hint="eastAsia"/>
            <w:bCs/>
          </w:rPr>
          <w:alias w:val="公司简称"/>
          <w:tag w:val="_GBC_0384ae715a1e4b4894a29e4d27f5bef4"/>
          <w:id w:val="25153431"/>
          <w:lock w:val="sdtLocked"/>
          <w:placeholder>
            <w:docPart w:val="GBC22222222222222222222222222222"/>
          </w:placeholder>
        </w:sdtPr>
        <w:sdtEndPr>
          <w:rPr>
            <w:rFonts w:hint="eastAsia"/>
            <w:bCs/>
          </w:rPr>
        </w:sdtEndPr>
        <w:sdtContent>
          <w:r>
            <w:rPr>
              <w:rFonts w:hint="eastAsia"/>
              <w:bCs/>
            </w:rPr>
            <w:t>柳钢股份</w:t>
          </w:r>
        </w:sdtContent>
      </w:sdt>
    </w:p>
    <w:p>
      <w:pPr>
        <w:pStyle w:val="76"/>
      </w:pPr>
    </w:p>
    <w:p>
      <w:pPr>
        <w:pStyle w:val="76"/>
      </w:pPr>
    </w:p>
    <w:p>
      <w:pPr>
        <w:pStyle w:val="76"/>
      </w:pPr>
    </w:p>
    <w:p>
      <w:pPr>
        <w:pStyle w:val="76"/>
      </w:pPr>
    </w:p>
    <w:p>
      <w:pPr>
        <w:pStyle w:val="76"/>
      </w:pPr>
    </w:p>
    <w:p>
      <w:pPr>
        <w:pStyle w:val="76"/>
      </w:pPr>
    </w:p>
    <w:p>
      <w:pPr>
        <w:pStyle w:val="76"/>
      </w:pPr>
    </w:p>
    <w:p>
      <w:pPr>
        <w:jc w:val="center"/>
        <w:rPr>
          <w:rFonts w:ascii="黑体" w:hAnsi="黑体" w:eastAsia="黑体"/>
          <w:b/>
          <w:bCs/>
          <w:color w:val="FF0000"/>
          <w:sz w:val="44"/>
          <w:szCs w:val="44"/>
        </w:rPr>
      </w:pPr>
      <w:sdt>
        <w:sdtPr>
          <w:rPr>
            <w:rFonts w:hint="eastAsia" w:ascii="黑体" w:hAnsi="黑体" w:eastAsia="黑体"/>
            <w:b/>
            <w:bCs/>
            <w:color w:val="FF0000"/>
            <w:sz w:val="44"/>
            <w:szCs w:val="44"/>
          </w:rPr>
          <w:alias w:val="公司法定中文名称"/>
          <w:tag w:val="_GBC_ef279e32efc14c6bb521c62ff1f265ba"/>
          <w:id w:val="25153432"/>
          <w:lock w:val="sdtLocked"/>
          <w:placeholder>
            <w:docPart w:val="GBC22222222222222222222222222222"/>
          </w:placeholder>
          <w15:dataBinding w:prefixMappings="xmlns:clcid-cgi='clcid-cgi'" w:xpath="/*/clcid-cgi:GongSiFaDingZhongWenMingCheng" w:storeItemID="{89EBAB94-44A0-46A2-B712-30D997D04A6D}"/>
          <w:text/>
        </w:sdtPr>
        <w:sdtEndPr>
          <w:rPr>
            <w:rFonts w:hint="eastAsia" w:ascii="黑体" w:hAnsi="黑体" w:eastAsia="黑体"/>
            <w:b/>
            <w:bCs/>
            <w:color w:val="FF0000"/>
            <w:sz w:val="44"/>
            <w:szCs w:val="44"/>
          </w:rPr>
        </w:sdtEndPr>
        <w:sdtContent>
          <w:r>
            <w:rPr>
              <w:rFonts w:hint="eastAsia" w:ascii="黑体" w:hAnsi="黑体" w:eastAsia="黑体"/>
              <w:b/>
              <w:bCs/>
              <w:color w:val="FF0000"/>
              <w:sz w:val="44"/>
              <w:szCs w:val="44"/>
            </w:rPr>
            <w:t>柳州钢铁股份有限公司</w:t>
          </w:r>
        </w:sdtContent>
      </w:sdt>
    </w:p>
    <w:p>
      <w:pPr>
        <w:jc w:val="center"/>
        <w:rPr>
          <w:rFonts w:ascii="黑体" w:hAnsi="黑体" w:eastAsia="黑体"/>
          <w:b/>
          <w:bCs/>
          <w:color w:val="FF0000"/>
          <w:sz w:val="44"/>
          <w:szCs w:val="44"/>
        </w:rPr>
      </w:pPr>
      <w:r>
        <w:rPr>
          <w:rFonts w:ascii="黑体" w:hAnsi="黑体" w:eastAsia="黑体"/>
          <w:b/>
          <w:bCs/>
          <w:color w:val="FF0000"/>
          <w:sz w:val="44"/>
          <w:szCs w:val="44"/>
        </w:rPr>
        <w:t>201</w:t>
      </w:r>
      <w:r>
        <w:rPr>
          <w:rFonts w:hint="eastAsia" w:ascii="黑体" w:hAnsi="黑体" w:eastAsia="黑体"/>
          <w:b/>
          <w:bCs/>
          <w:color w:val="FF0000"/>
          <w:sz w:val="44"/>
          <w:szCs w:val="44"/>
        </w:rPr>
        <w:t>8年半年度报告</w:t>
      </w:r>
    </w:p>
    <w:p>
      <w:pPr>
        <w:pStyle w:val="76"/>
      </w:pPr>
    </w:p>
    <w:p>
      <w:pPr>
        <w:pStyle w:val="76"/>
      </w:pPr>
    </w:p>
    <w:p>
      <w:pPr>
        <w:pStyle w:val="76"/>
      </w:pPr>
    </w:p>
    <w:p>
      <w:pPr>
        <w:pStyle w:val="76"/>
      </w:pPr>
    </w:p>
    <w:p>
      <w:pPr>
        <w:pStyle w:val="76"/>
      </w:pPr>
    </w:p>
    <w:p>
      <w:pPr>
        <w:pStyle w:val="76"/>
      </w:pPr>
    </w:p>
    <w:p>
      <w:pPr>
        <w:pStyle w:val="76"/>
      </w:pPr>
    </w:p>
    <w:p>
      <w:pPr>
        <w:pStyle w:val="76"/>
      </w:pPr>
      <w:r>
        <w:br w:type="page"/>
      </w:r>
    </w:p>
    <w:p>
      <w:pPr>
        <w:pStyle w:val="30"/>
        <w:spacing w:after="280" w:afterAutospacing="0"/>
        <w:jc w:val="center"/>
        <w:rPr>
          <w:rFonts w:ascii="黑体" w:eastAsia="黑体"/>
          <w:b/>
          <w:bCs/>
          <w:sz w:val="28"/>
          <w:szCs w:val="28"/>
        </w:rPr>
      </w:pPr>
      <w:bookmarkStart w:id="0" w:name="_Toc387656034"/>
      <w:r>
        <w:rPr>
          <w:rFonts w:hint="eastAsia" w:ascii="黑体" w:eastAsia="黑体"/>
          <w:b/>
          <w:bCs/>
          <w:sz w:val="28"/>
          <w:szCs w:val="28"/>
        </w:rPr>
        <w:t>重要提示</w:t>
      </w:r>
      <w:bookmarkEnd w:id="0"/>
    </w:p>
    <w:sdt>
      <w:sdtPr>
        <w:rPr>
          <w:rFonts w:hint="eastAsia"/>
        </w:rPr>
        <w:alias w:val="选项模块:董事会及董事声明"/>
        <w:tag w:val="_SEC_d5e0e82062cc4f3cb5a290078031cbd7"/>
        <w:id w:val="25153434"/>
        <w:lock w:val="sdtLocked"/>
        <w:placeholder>
          <w:docPart w:val="GBC22222222222222222222222222222"/>
        </w:placeholder>
      </w:sdtPr>
      <w:sdtEndPr>
        <w:rPr>
          <w:rFonts w:hint="eastAsia"/>
        </w:rPr>
      </w:sdtEndPr>
      <w:sdtContent>
        <w:p>
          <w:pPr>
            <w:pStyle w:val="3"/>
            <w:numPr>
              <w:ilvl w:val="0"/>
              <w:numId w:val="1"/>
            </w:numPr>
            <w:tabs>
              <w:tab w:val="left" w:pos="434"/>
            </w:tabs>
            <w:spacing w:before="0" w:after="0" w:line="360" w:lineRule="auto"/>
            <w:ind w:left="369" w:hanging="369" w:hangingChars="175"/>
          </w:pPr>
          <w:sdt>
            <w:sdtPr>
              <w:rPr>
                <w:rFonts w:hint="eastAsia"/>
              </w:rPr>
              <w:alias w:val="董事会及董事声明"/>
              <w:tag w:val="_GBC_6c6da163383e4e4c92758ff24076a138"/>
              <w:id w:val="25153433"/>
              <w:lock w:val="sdtLocked"/>
              <w:placeholder>
                <w:docPart w:val="GBC22222222222222222222222222222"/>
              </w:placeholder>
            </w:sdtPr>
            <w:sdtEndPr>
              <w:rPr>
                <w:rFonts w:hint="eastAsia"/>
              </w:rPr>
            </w:sdtEndPr>
            <w:sdtContent>
              <w:r>
                <w:rPr>
                  <w:rFonts w:ascii="Times New Roman" w:hAnsi="宋体"/>
                  <w:bCs w:val="0"/>
                </w:rPr>
                <w:t>本公司董事会、监事会及董事、监事、高级管理人员保证</w:t>
              </w:r>
              <w:r>
                <w:rPr>
                  <w:rFonts w:hint="eastAsia" w:ascii="Times New Roman" w:hAnsi="宋体"/>
                  <w:bCs w:val="0"/>
                </w:rPr>
                <w:t>半</w:t>
              </w:r>
              <w:r>
                <w:rPr>
                  <w:rFonts w:ascii="Times New Roman" w:hAnsi="宋体"/>
                  <w:bCs w:val="0"/>
                </w:rPr>
                <w:t>年度报告内容的真实、准确、完整，不存在虚假记载、误导性陈述或重大遗漏，并承担个别和连带的法律责任。</w:t>
              </w:r>
            </w:sdtContent>
          </w:sdt>
        </w:p>
      </w:sdtContent>
    </w:sdt>
    <w:p>
      <w:pPr>
        <w:pStyle w:val="76"/>
      </w:pPr>
    </w:p>
    <w:sdt>
      <w:sdtPr>
        <w:rPr>
          <w:rFonts w:hint="eastAsia" w:ascii="Calibri" w:hAnsi="Calibri"/>
          <w:b w:val="0"/>
          <w:bCs w:val="0"/>
          <w:sz w:val="24"/>
          <w:szCs w:val="22"/>
        </w:rPr>
        <w:alias w:val="选项模块:公司全体董事出席董事会会议。"/>
        <w:tag w:val="_GBC_1b1325bf1ae840869be71054a10ad268"/>
        <w:id w:val="25153436"/>
        <w:lock w:val="sdtLocked"/>
        <w:placeholder>
          <w:docPart w:val="GBC22222222222222222222222222222"/>
        </w:placeholder>
      </w:sdtPr>
      <w:sdtEndPr>
        <w:rPr>
          <w:rFonts w:hint="default" w:ascii="宋体" w:hAnsi="宋体"/>
          <w:b w:val="0"/>
          <w:bCs w:val="0"/>
          <w:sz w:val="21"/>
          <w:szCs w:val="21"/>
        </w:rPr>
      </w:sdtEndPr>
      <w:sdtContent>
        <w:p>
          <w:pPr>
            <w:pStyle w:val="3"/>
            <w:numPr>
              <w:ilvl w:val="0"/>
              <w:numId w:val="1"/>
            </w:numPr>
            <w:tabs>
              <w:tab w:val="left" w:pos="448"/>
            </w:tabs>
            <w:spacing w:before="0" w:after="0" w:line="360" w:lineRule="auto"/>
            <w:ind w:left="420" w:hangingChars="175"/>
          </w:pPr>
          <w:r>
            <w:rPr>
              <w:rFonts w:hint="eastAsia"/>
            </w:rPr>
            <w:t>公司</w:t>
          </w:r>
          <w:sdt>
            <w:sdtPr>
              <w:rPr>
                <w:rFonts w:hint="eastAsia"/>
              </w:rPr>
              <w:tag w:val="_GBC_2e0ee33ebae04a83b92e8b1aa6754169"/>
              <w:id w:val="25153435"/>
              <w:lock w:val="sdtLocked"/>
              <w:placeholder>
                <w:docPart w:val="GBC22222222222222222222222222222"/>
              </w:placeholder>
            </w:sdtPr>
            <w:sdtEndPr>
              <w:rPr>
                <w:rFonts w:hint="eastAsia"/>
              </w:rPr>
            </w:sdtEndPr>
            <w:sdtContent>
              <w:r>
                <w:rPr>
                  <w:rFonts w:hint="eastAsia"/>
                </w:rPr>
                <w:t>全体董事出席</w:t>
              </w:r>
            </w:sdtContent>
          </w:sdt>
          <w:r>
            <w:rPr>
              <w:rFonts w:hint="eastAsia"/>
            </w:rPr>
            <w:t>董事会会议。</w:t>
          </w:r>
        </w:p>
        <w:p>
          <w:pPr>
            <w:pStyle w:val="76"/>
          </w:pPr>
        </w:p>
      </w:sdtContent>
    </w:sdt>
    <w:sdt>
      <w:sdtPr>
        <w:rPr>
          <w:rFonts w:hint="eastAsia" w:ascii="Calibri" w:hAnsi="Calibri"/>
          <w:b w:val="0"/>
          <w:bCs w:val="0"/>
          <w:sz w:val="24"/>
          <w:szCs w:val="24"/>
        </w:rPr>
        <w:alias w:val="选项模块:本年度报告未经审计。"/>
        <w:tag w:val="_GBC_07370c6ee32a4bea8271133440d087fd"/>
        <w:id w:val="25153438"/>
        <w:lock w:val="sdtLocked"/>
        <w:placeholder>
          <w:docPart w:val="GBC22222222222222222222222222222"/>
        </w:placeholder>
      </w:sdtPr>
      <w:sdtEndPr>
        <w:rPr>
          <w:rFonts w:hint="default" w:ascii="宋体" w:hAnsi="宋体"/>
          <w:b w:val="0"/>
          <w:bCs w:val="0"/>
          <w:sz w:val="21"/>
          <w:szCs w:val="21"/>
        </w:rPr>
      </w:sdtEndPr>
      <w:sdtContent>
        <w:p>
          <w:pPr>
            <w:pStyle w:val="3"/>
            <w:numPr>
              <w:ilvl w:val="0"/>
              <w:numId w:val="1"/>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25153437"/>
              <w:lock w:val="sdtLocked"/>
              <w:placeholder>
                <w:docPart w:val="GBC22222222222222222222222222222"/>
              </w:placeholder>
            </w:sdtPr>
            <w:sdtEndPr>
              <w:rPr>
                <w:rFonts w:hint="eastAsia"/>
              </w:rPr>
            </w:sdtEndPr>
            <w:sdtContent>
              <w:r>
                <w:rPr>
                  <w:rFonts w:hint="eastAsia"/>
                </w:rPr>
                <w:t>未经审计</w:t>
              </w:r>
            </w:sdtContent>
          </w:sdt>
          <w:r>
            <w:rPr>
              <w:rFonts w:hint="eastAsia"/>
            </w:rPr>
            <w:t>。</w:t>
          </w:r>
        </w:p>
        <w:p>
          <w:pPr>
            <w:pStyle w:val="76"/>
          </w:pPr>
        </w:p>
      </w:sdtContent>
    </w:sdt>
    <w:sdt>
      <w:sdtPr>
        <w:rPr>
          <w:rFonts w:hint="eastAsia" w:ascii="宋体" w:hAnsi="宋体"/>
          <w:b w:val="0"/>
        </w:rPr>
        <w:alias w:val="模块:公司负责人等声明"/>
        <w:tag w:val="_GBC_04b137e7f87b43b8812b2c33bd605e04"/>
        <w:id w:val="25153442"/>
        <w:lock w:val="sdtLocked"/>
        <w:placeholder>
          <w:docPart w:val="GBC22222222222222222222222222222"/>
        </w:placeholder>
      </w:sdtPr>
      <w:sdtEndPr>
        <w:rPr>
          <w:rFonts w:hint="eastAsia" w:ascii="宋体" w:hAnsi="宋体"/>
          <w:b/>
        </w:rPr>
      </w:sdtEndPr>
      <w:sdtContent>
        <w:p>
          <w:pPr>
            <w:pStyle w:val="3"/>
            <w:numPr>
              <w:ilvl w:val="0"/>
              <w:numId w:val="1"/>
            </w:numPr>
            <w:tabs>
              <w:tab w:val="left" w:pos="434"/>
            </w:tabs>
            <w:spacing w:before="0" w:after="0" w:line="360" w:lineRule="auto"/>
            <w:ind w:left="368" w:hanging="367" w:hangingChars="175"/>
            <w:rPr>
              <w:rFonts w:ascii="宋体" w:hAnsi="宋体"/>
            </w:rPr>
          </w:pPr>
          <w:r>
            <w:rPr>
              <w:rFonts w:hint="eastAsia" w:ascii="宋体" w:hAnsi="宋体"/>
            </w:rPr>
            <w:t>公司负责人</w:t>
          </w:r>
          <w:sdt>
            <w:sdtPr>
              <w:rPr>
                <w:rFonts w:ascii="宋体" w:hAnsi="宋体"/>
              </w:rPr>
              <w:alias w:val="公司负责人姓名"/>
              <w:tag w:val="_GBC_ee6b72f666bb497bbe8fc037096654d2"/>
              <w:id w:val="25153439"/>
              <w:lock w:val="sdtLocked"/>
              <w:placeholder>
                <w:docPart w:val="GBC22222222222222222222222222222"/>
              </w:placeholder>
              <w15:dataBinding w:prefixMappings="xmlns:clcid-mr='clcid-mr'" w:xpath="/*/clcid-mr:GongSiFuZeRenXingMing[not(@periodRef)]" w:storeItemID="{89EBAB94-44A0-46A2-B712-30D997D04A6D}"/>
              <w:text/>
            </w:sdtPr>
            <w:sdtEndPr>
              <w:rPr>
                <w:rFonts w:ascii="宋体" w:hAnsi="宋体"/>
              </w:rPr>
            </w:sdtEndPr>
            <w:sdtContent>
              <w:r>
                <w:rPr>
                  <w:rFonts w:hint="eastAsia" w:ascii="宋体" w:hAnsi="宋体"/>
                </w:rPr>
                <w:t>陈有升</w:t>
              </w:r>
            </w:sdtContent>
          </w:sdt>
          <w:r>
            <w:rPr>
              <w:rFonts w:hint="eastAsia" w:ascii="宋体" w:hAnsi="宋体"/>
            </w:rPr>
            <w:t>、主管会计工作负责人</w:t>
          </w:r>
          <w:sdt>
            <w:sdtPr>
              <w:rPr>
                <w:rFonts w:ascii="宋体" w:hAnsi="宋体"/>
              </w:rPr>
              <w:alias w:val="主管会计工作负责人姓名"/>
              <w:tag w:val="_GBC_51ed55c6ff134dadaa6756998c964cdf"/>
              <w:id w:val="25153440"/>
              <w:lock w:val="sdtLocked"/>
              <w:placeholder>
                <w:docPart w:val="GBC22222222222222222222222222222"/>
              </w:placeholder>
              <w15:dataBinding w:prefixMappings="xmlns:clcid-mr='clcid-mr'" w:xpath="/*/clcid-mr:ZhuGuanKuaiJiGongZuoFuZeRenXingMing[not(@periodRef)]" w:storeItemID="{89EBAB94-44A0-46A2-B712-30D997D04A6D}"/>
              <w:text/>
            </w:sdtPr>
            <w:sdtEndPr>
              <w:rPr>
                <w:rFonts w:ascii="宋体" w:hAnsi="宋体"/>
              </w:rPr>
            </w:sdtEndPr>
            <w:sdtContent>
              <w:r>
                <w:rPr>
                  <w:rFonts w:hint="eastAsia" w:ascii="宋体" w:hAnsi="宋体"/>
                </w:rPr>
                <w:t>王海英</w:t>
              </w:r>
            </w:sdtContent>
          </w:sdt>
          <w:r>
            <w:rPr>
              <w:rFonts w:hint="eastAsia" w:ascii="宋体" w:hAnsi="宋体"/>
            </w:rPr>
            <w:t>及会计机构负责人（会计主管人员）</w:t>
          </w:r>
          <w:sdt>
            <w:sdtPr>
              <w:alias w:val="会计机构负责人姓名"/>
              <w:tag w:val="_GBC_aa7d9e44d6e64b9abdcdefb4a3968427"/>
              <w:id w:val="25153441"/>
              <w:lock w:val="sdtLocked"/>
              <w:placeholder>
                <w:docPart w:val="GBC22222222222222222222222222222"/>
              </w:placeholder>
              <w15:dataBinding w:prefixMappings="xmlns:clcid-mr='clcid-mr'" w:xpath="/*/clcid-mr:KuaiJiJiGouFuZeRenXingMing[not(@periodRef)]" w:storeItemID="{89EBAB94-44A0-46A2-B712-30D997D04A6D}"/>
              <w:text/>
            </w:sdtPr>
            <w:sdtContent>
              <w:r>
                <w:rPr>
                  <w:rFonts w:hint="eastAsia"/>
                </w:rPr>
                <w:t>杜忠军</w:t>
              </w:r>
            </w:sdtContent>
          </w:sdt>
          <w:r>
            <w:rPr>
              <w:rFonts w:hint="eastAsia" w:ascii="宋体" w:hAnsi="宋体"/>
            </w:rPr>
            <w:t>声明：保证半年度报告中财务报告的真实、准确、完整。</w:t>
          </w:r>
        </w:p>
      </w:sdtContent>
    </w:sdt>
    <w:p>
      <w:pPr>
        <w:pStyle w:val="76"/>
      </w:pPr>
    </w:p>
    <w:sdt>
      <w:sdtPr>
        <w:rPr>
          <w:rFonts w:ascii="Calibri" w:hAnsi="Calibri"/>
          <w:b w:val="0"/>
          <w:bCs w:val="0"/>
          <w:sz w:val="24"/>
          <w:szCs w:val="24"/>
        </w:rPr>
        <w:alias w:val="模块:经董事会审议的报告期利润分配预案或公积金转增股本预案"/>
        <w:tag w:val="_GBC_21c095fa67114a208ee8411405e3a22a"/>
        <w:id w:val="25153444"/>
        <w:lock w:val="sdtLocked"/>
        <w:placeholder>
          <w:docPart w:val="GBC22222222222222222222222222222"/>
        </w:placeholder>
      </w:sdtPr>
      <w:sdtEndPr>
        <w:rPr>
          <w:rFonts w:hint="eastAsia" w:ascii="宋体" w:hAnsi="宋体"/>
          <w:b w:val="0"/>
          <w:bCs w:val="0"/>
          <w:sz w:val="21"/>
          <w:szCs w:val="21"/>
          <w:shd w:val="pct10" w:color="auto" w:fill="FFFFFF"/>
        </w:rPr>
      </w:sdtEndPr>
      <w:sdtContent>
        <w:p>
          <w:pPr>
            <w:pStyle w:val="3"/>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rPr>
            <w:alias w:val="经董事会审议的报告期利润分配预案或公积金转增股本预案"/>
            <w:tag w:val="_GBC_7676626d447143468bebcc8d267ec746"/>
            <w:id w:val="25153443"/>
            <w:lock w:val="sdtLocked"/>
            <w:placeholder>
              <w:docPart w:val="GBC22222222222222222222222222222"/>
            </w:placeholder>
          </w:sdtPr>
          <w:sdtEndPr>
            <w:rPr>
              <w:rFonts w:hint="eastAsia"/>
              <w:shd w:val="pct10" w:color="auto" w:fill="FFFFFF"/>
            </w:rPr>
          </w:sdtEndPr>
          <w:sdtContent>
            <w:p>
              <w:pPr>
                <w:kinsoku w:val="0"/>
                <w:overflowPunct w:val="0"/>
                <w:autoSpaceDE w:val="0"/>
                <w:autoSpaceDN w:val="0"/>
                <w:snapToGrid w:val="0"/>
                <w:spacing w:line="360" w:lineRule="exact"/>
                <w:rPr>
                  <w:shd w:val="pct10" w:color="auto" w:fill="FFFFFF"/>
                </w:rPr>
              </w:pPr>
              <w:r>
                <w:rPr>
                  <w:rFonts w:hint="eastAsia"/>
                </w:rPr>
                <w:t>无</w:t>
              </w:r>
            </w:p>
          </w:sdtContent>
        </w:sdt>
      </w:sdtContent>
    </w:sdt>
    <w:p>
      <w:pPr>
        <w:kinsoku w:val="0"/>
        <w:overflowPunct w:val="0"/>
        <w:autoSpaceDE w:val="0"/>
        <w:autoSpaceDN w:val="0"/>
        <w:snapToGrid w:val="0"/>
        <w:spacing w:line="360" w:lineRule="exact"/>
        <w:rPr>
          <w:shd w:val="pct10" w:color="auto" w:fill="FFFFFF"/>
        </w:rPr>
      </w:pPr>
    </w:p>
    <w:sdt>
      <w:sdtPr>
        <w:rPr>
          <w:rFonts w:ascii="Calibri" w:hAnsi="Calibri"/>
          <w:b w:val="0"/>
          <w:bCs w:val="0"/>
          <w:sz w:val="24"/>
          <w:szCs w:val="24"/>
        </w:rPr>
        <w:alias w:val="模块:前瞻性陈述的风险声明"/>
        <w:tag w:val="_GBC_cc24ced211694e75b40a9765d2616e01"/>
        <w:id w:val="25153447"/>
        <w:lock w:val="sdtLocked"/>
        <w:placeholder>
          <w:docPart w:val="GBC22222222222222222222222222222"/>
        </w:placeholder>
      </w:sdtPr>
      <w:sdtEndPr>
        <w:rPr>
          <w:rFonts w:hint="eastAsia" w:ascii="宋体" w:hAnsi="宋体"/>
          <w:b w:val="0"/>
          <w:bCs w:val="0"/>
          <w:sz w:val="21"/>
          <w:szCs w:val="21"/>
          <w:shd w:val="pct10" w:color="auto" w:fill="FFFFFF"/>
        </w:rPr>
      </w:sdtEndPr>
      <w:sdtContent>
        <w:p>
          <w:pPr>
            <w:pStyle w:val="3"/>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2515344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25153446"/>
            <w:lock w:val="sdtLocked"/>
            <w:placeholder>
              <w:docPart w:val="GBC22222222222222222222222222222"/>
            </w:placeholder>
          </w:sdtPr>
          <w:sdtEndPr>
            <w:rPr>
              <w:rFonts w:hint="eastAsia"/>
              <w:shd w:val="pct10" w:color="auto" w:fill="FFFFFF"/>
            </w:rPr>
          </w:sdtEndPr>
          <w:sdtContent>
            <w:p>
              <w:pPr>
                <w:pStyle w:val="76"/>
              </w:pPr>
              <w:r>
                <w:rPr>
                  <w:rFonts w:hint="eastAsia"/>
                  <w:color w:val="000000"/>
                </w:rPr>
                <w:t>本报告中所涉及的未来计划、发展战略等前瞻性描述不构成公司对投资者的实质承诺，请投资者注意投资风险。</w:t>
              </w:r>
            </w:p>
          </w:sdtContent>
        </w:sdt>
      </w:sdtContent>
    </w:sdt>
    <w:p>
      <w:pPr>
        <w:kinsoku w:val="0"/>
        <w:overflowPunct w:val="0"/>
        <w:autoSpaceDE w:val="0"/>
        <w:autoSpaceDN w:val="0"/>
        <w:snapToGrid w:val="0"/>
        <w:spacing w:line="360" w:lineRule="exact"/>
        <w:rPr>
          <w:shd w:val="pct10" w:color="auto" w:fill="FFFFFF"/>
        </w:rPr>
      </w:pPr>
    </w:p>
    <w:sdt>
      <w:sdtPr>
        <w:rPr>
          <w:rFonts w:hint="eastAsia" w:ascii="Calibri" w:hAnsi="Calibri"/>
          <w:b w:val="0"/>
          <w:bCs w:val="0"/>
          <w:sz w:val="24"/>
          <w:szCs w:val="24"/>
          <w:shd w:val="pct10" w:color="auto" w:fill="FFFFFF"/>
        </w:rPr>
        <w:alias w:val="模块:是否存在被控股股东及其关联方非经营性占用资金情况"/>
        <w:tag w:val="_GBC_70f733efbc484640a48089ddc49bf2b9"/>
        <w:id w:val="25153449"/>
        <w:lock w:val="sdtLocked"/>
        <w:placeholder>
          <w:docPart w:val="GBC22222222222222222222222222222"/>
        </w:placeholder>
      </w:sdtPr>
      <w:sdtEndPr>
        <w:rPr>
          <w:rFonts w:hint="eastAsia" w:ascii="宋体" w:hAnsi="宋体"/>
          <w:b w:val="0"/>
          <w:bCs w:val="0"/>
          <w:sz w:val="21"/>
          <w:szCs w:val="21"/>
          <w:shd w:val="clear" w:color="auto" w:fill="auto"/>
        </w:rPr>
      </w:sdtEndPr>
      <w:sdtContent>
        <w:p>
          <w:pPr>
            <w:pStyle w:val="3"/>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rPr>
            <w:alias w:val="本公司是否存在大股东占用资金情况"/>
            <w:tag w:val="_GBC_a32400ff33ee44d89632e0d79a7f2c42"/>
            <w:id w:val="25153448"/>
            <w:lock w:val="sdtLocked"/>
            <w:placeholder>
              <w:docPart w:val="GBC22222222222222222222222222222"/>
            </w:placeholder>
            <w:comboBox>
              <w:listItem w:displayText="是" w:value="true"/>
              <w:listItem w:displayText="否" w:value="false"/>
            </w:comboBox>
          </w:sdtPr>
          <w:sdtEndPr>
            <w:rPr>
              <w:rFonts w:hint="eastAsia"/>
              <w:bCs/>
            </w:rPr>
          </w:sdtEndPr>
          <w:sdtContent>
            <w:p>
              <w:pPr>
                <w:kinsoku w:val="0"/>
                <w:overflowPunct w:val="0"/>
                <w:autoSpaceDE w:val="0"/>
                <w:autoSpaceDN w:val="0"/>
                <w:snapToGrid w:val="0"/>
                <w:spacing w:line="360" w:lineRule="exact"/>
                <w:rPr>
                  <w:rFonts w:ascii="Arial" w:hAnsi="Arial"/>
                  <w:bCs/>
                </w:rPr>
              </w:pPr>
              <w:r>
                <w:rPr>
                  <w:rFonts w:hint="eastAsia"/>
                  <w:bCs/>
                </w:rPr>
                <w:t>否</w:t>
              </w:r>
            </w:p>
          </w:sdtContent>
        </w:sdt>
      </w:sdtContent>
    </w:sdt>
    <w:p>
      <w:pPr>
        <w:kinsoku w:val="0"/>
        <w:overflowPunct w:val="0"/>
        <w:autoSpaceDE w:val="0"/>
        <w:autoSpaceDN w:val="0"/>
        <w:snapToGrid w:val="0"/>
        <w:spacing w:line="360" w:lineRule="exact"/>
        <w:rPr>
          <w:shd w:val="pct10" w:color="auto" w:fill="FFFFFF"/>
        </w:rPr>
      </w:pPr>
    </w:p>
    <w:sdt>
      <w:sdtPr>
        <w:rPr>
          <w:rFonts w:ascii="Calibri" w:hAnsi="Calibri"/>
          <w:b w:val="0"/>
          <w:bCs w:val="0"/>
          <w:sz w:val="24"/>
          <w:szCs w:val="24"/>
        </w:rPr>
        <w:alias w:val="模块:是否存在违反规定决策程序对外提供担保的情况"/>
        <w:tag w:val="_GBC_0b5725dfa5c04f85874bece4083eddb4"/>
        <w:id w:val="25153451"/>
        <w:lock w:val="sdtLocked"/>
        <w:placeholder>
          <w:docPart w:val="GBC22222222222222222222222222222"/>
        </w:placeholder>
      </w:sdtPr>
      <w:sdtEndPr>
        <w:rPr>
          <w:rFonts w:hint="eastAsia" w:ascii="宋体" w:hAnsi="宋体"/>
          <w:b w:val="0"/>
          <w:bCs w:val="0"/>
          <w:sz w:val="21"/>
          <w:szCs w:val="21"/>
        </w:rPr>
      </w:sdtEndPr>
      <w:sdtContent>
        <w:p>
          <w:pPr>
            <w:pStyle w:val="3"/>
            <w:numPr>
              <w:ilvl w:val="0"/>
              <w:numId w:val="1"/>
            </w:numPr>
            <w:tabs>
              <w:tab w:val="left" w:pos="644"/>
            </w:tabs>
            <w:spacing w:before="0" w:after="0" w:line="360" w:lineRule="auto"/>
            <w:ind w:left="420" w:hangingChars="175"/>
          </w:pPr>
          <w:r>
            <w:t>是否存在违反规定决策程序对外提供担保的情况？</w:t>
          </w:r>
        </w:p>
        <w:sdt>
          <w:sdtPr>
            <w:rPr>
              <w:rFonts w:hint="eastAsia"/>
            </w:rPr>
            <w:alias w:val="本公司是否存在违反规定决策程序对外提供担保的情况"/>
            <w:tag w:val="_GBC_3bc3f02bd342494aa2858bb9a39d8458"/>
            <w:id w:val="25153450"/>
            <w:lock w:val="sdtLocked"/>
            <w:placeholder>
              <w:docPart w:val="GBC22222222222222222222222222222"/>
            </w:placeholder>
            <w:comboBox>
              <w:listItem w:displayText="是" w:value="true"/>
              <w:listItem w:displayText="否" w:value="false"/>
            </w:comboBox>
          </w:sdtPr>
          <w:sdtEndPr>
            <w:rPr>
              <w:rFonts w:hint="eastAsia"/>
            </w:rPr>
          </w:sdtEndPr>
          <w:sdtContent>
            <w:p>
              <w:pPr>
                <w:pStyle w:val="76"/>
              </w:pPr>
              <w:r>
                <w:rPr>
                  <w:rFonts w:hint="eastAsia"/>
                </w:rPr>
                <w:t>否</w:t>
              </w:r>
            </w:p>
          </w:sdtContent>
        </w:sdt>
      </w:sdtContent>
    </w:sdt>
    <w:p>
      <w:pPr>
        <w:pStyle w:val="76"/>
      </w:pPr>
    </w:p>
    <w:sdt>
      <w:sdtPr>
        <w:rPr>
          <w:rFonts w:ascii="宋体" w:hAnsi="宋体"/>
          <w:b w:val="0"/>
          <w:bCs w:val="0"/>
          <w:szCs w:val="24"/>
        </w:rPr>
        <w:alias w:val="模块:重大风险提示"/>
        <w:tag w:val="_SEC_765dd5e867e04417bfcc7ba07f902949"/>
        <w:id w:val="25153453"/>
        <w:lock w:val="sdtLocked"/>
        <w:placeholder>
          <w:docPart w:val="GBC22222222222222222222222222222"/>
        </w:placeholder>
      </w:sdtPr>
      <w:sdtEndPr>
        <w:rPr>
          <w:rFonts w:hint="eastAsia" w:ascii="宋体" w:hAnsi="宋体"/>
          <w:b w:val="0"/>
          <w:bCs w:val="0"/>
          <w:szCs w:val="21"/>
        </w:rPr>
      </w:sdtEndPr>
      <w:sdtContent>
        <w:p>
          <w:pPr>
            <w:pStyle w:val="3"/>
            <w:numPr>
              <w:ilvl w:val="0"/>
              <w:numId w:val="1"/>
            </w:numPr>
            <w:tabs>
              <w:tab w:val="left" w:pos="644"/>
            </w:tabs>
            <w:spacing w:before="0" w:after="0" w:line="360" w:lineRule="auto"/>
            <w:ind w:left="368" w:hanging="367" w:hangingChars="175"/>
          </w:pPr>
          <w:r>
            <w:t>重大风险提示</w:t>
          </w:r>
        </w:p>
        <w:sdt>
          <w:sdtPr>
            <w:rPr>
              <w:rFonts w:hint="eastAsia"/>
            </w:rPr>
            <w:alias w:val="重大风险提示"/>
            <w:tag w:val="_GBC_d0220f8592e64dd1b898937e183da1e3"/>
            <w:id w:val="25153452"/>
            <w:lock w:val="sdtLocked"/>
            <w:placeholder>
              <w:docPart w:val="GBC22222222222222222222222222222"/>
            </w:placeholder>
          </w:sdtPr>
          <w:sdtEndPr>
            <w:rPr>
              <w:rFonts w:hint="eastAsia"/>
            </w:rPr>
          </w:sdtEndPr>
          <w:sdtContent>
            <w:p>
              <w:pPr>
                <w:pStyle w:val="76"/>
              </w:pPr>
              <w:r>
                <w:rPr>
                  <w:rFonts w:hint="eastAsia"/>
                  <w:color w:val="000000"/>
                </w:rPr>
                <w:t>本报告已描述公司可能面临的风险，请查阅“第四节经营情况讨论与分析”中“其他披露事项”中“可能面对的风险”部分。</w:t>
              </w:r>
            </w:p>
          </w:sdtContent>
        </w:sdt>
      </w:sdtContent>
    </w:sdt>
    <w:p>
      <w:pPr>
        <w:pStyle w:val="76"/>
      </w:pPr>
    </w:p>
    <w:sdt>
      <w:sdtPr>
        <w:rPr>
          <w:rFonts w:ascii="宋体" w:hAnsi="宋体"/>
          <w:b w:val="0"/>
          <w:bCs w:val="0"/>
          <w:sz w:val="24"/>
          <w:szCs w:val="24"/>
        </w:rPr>
        <w:alias w:val="模块:重要提示的其他情况说明"/>
        <w:tag w:val="_GBC_b8bb35c675b44fbdaf150c1114447d89"/>
        <w:id w:val="25153455"/>
        <w:lock w:val="sdtLocked"/>
        <w:placeholder>
          <w:docPart w:val="GBC22222222222222222222222222222"/>
        </w:placeholder>
      </w:sdtPr>
      <w:sdtEndPr>
        <w:rPr>
          <w:rFonts w:ascii="宋体" w:hAnsi="宋体"/>
          <w:b w:val="0"/>
          <w:bCs w:val="0"/>
          <w:sz w:val="21"/>
          <w:szCs w:val="21"/>
        </w:rPr>
      </w:sdtEndPr>
      <w:sdtContent>
        <w:p>
          <w:pPr>
            <w:pStyle w:val="3"/>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2515345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sectPr>
          <w:headerReference r:id="rId3" w:type="default"/>
          <w:footerReference r:id="rId4" w:type="default"/>
          <w:pgSz w:w="11906" w:h="16838"/>
          <w:pgMar w:top="1525" w:right="1276" w:bottom="1440" w:left="1797" w:header="855" w:footer="992" w:gutter="0"/>
          <w:cols w:space="425" w:num="1"/>
          <w:docGrid w:linePitch="312" w:charSpace="0"/>
        </w:sectPr>
      </w:pPr>
    </w:p>
    <w:p>
      <w:pPr>
        <w:pStyle w:val="76"/>
      </w:pPr>
    </w:p>
    <w:p>
      <w:pPr>
        <w:kinsoku w:val="0"/>
        <w:overflowPunct w:val="0"/>
        <w:autoSpaceDE w:val="0"/>
        <w:autoSpaceDN w:val="0"/>
        <w:snapToGrid w:val="0"/>
        <w:spacing w:line="360" w:lineRule="exact"/>
        <w:jc w:val="center"/>
      </w:pPr>
      <w:r>
        <w:rPr>
          <w:rFonts w:hint="eastAsia"/>
          <w:b/>
          <w:sz w:val="32"/>
          <w:szCs w:val="32"/>
        </w:rPr>
        <w:t>目录</w:t>
      </w:r>
      <w:r>
        <w:rPr>
          <w:shd w:val="pct10" w:color="auto" w:fill="FFFFFF"/>
        </w:rPr>
        <w:fldChar w:fldCharType="begin"/>
      </w:r>
      <w:r>
        <w:rPr>
          <w:shd w:val="pct10" w:color="auto" w:fill="FFFFFF"/>
        </w:rPr>
        <w:instrText xml:space="preserve"> TOC \o "1-1" \h \z \u </w:instrText>
      </w:r>
      <w:r>
        <w:rPr>
          <w:shd w:val="pct10" w:color="auto" w:fill="FFFFFF"/>
        </w:rPr>
        <w:fldChar w:fldCharType="separate"/>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"_Toc484510564" </w:instrText>
      </w:r>
      <w:r>
        <w:fldChar w:fldCharType="separate"/>
      </w:r>
      <w:r>
        <w:rPr>
          <w:rStyle w:val="34"/>
          <w:rFonts w:hint="eastAsia"/>
          <w:b/>
        </w:rPr>
        <w:t>第一节</w:t>
      </w:r>
      <w:r>
        <w:rPr>
          <w:rFonts w:asciiTheme="minorHAnsi" w:hAnsiTheme="minorHAnsi" w:eastAsiaTheme="minorEastAsia" w:cstheme="minorBidi"/>
          <w:b/>
          <w:szCs w:val="22"/>
        </w:rPr>
        <w:tab/>
      </w:r>
      <w:r>
        <w:rPr>
          <w:rStyle w:val="34"/>
          <w:rFonts w:hint="eastAsia"/>
          <w:b/>
        </w:rPr>
        <w:t>释义</w:t>
      </w:r>
      <w:r>
        <w:rPr>
          <w:b/>
        </w:rPr>
        <w:tab/>
      </w:r>
      <w:r>
        <w:rPr>
          <w:b/>
        </w:rPr>
        <w:fldChar w:fldCharType="begin"/>
      </w:r>
      <w:r>
        <w:rPr>
          <w:b/>
        </w:rPr>
        <w:instrText xml:space="preserve"> PAGEREF _Toc484510564 \h </w:instrText>
      </w:r>
      <w:r>
        <w:rPr>
          <w:b/>
        </w:rPr>
        <w:fldChar w:fldCharType="separate"/>
      </w:r>
      <w:r>
        <w:rPr>
          <w:b/>
        </w:rPr>
        <w:t>4</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"_Toc484510565" </w:instrText>
      </w:r>
      <w:r>
        <w:fldChar w:fldCharType="separate"/>
      </w:r>
      <w:r>
        <w:rPr>
          <w:rStyle w:val="34"/>
          <w:rFonts w:hint="eastAsia"/>
          <w:b/>
        </w:rPr>
        <w:t>第二节</w:t>
      </w:r>
      <w:r>
        <w:rPr>
          <w:rFonts w:asciiTheme="minorHAnsi" w:hAnsiTheme="minorHAnsi" w:eastAsiaTheme="minorEastAsia" w:cstheme="minorBidi"/>
          <w:b/>
          <w:szCs w:val="22"/>
        </w:rPr>
        <w:tab/>
      </w:r>
      <w:r>
        <w:rPr>
          <w:rStyle w:val="34"/>
          <w:rFonts w:hint="eastAsia"/>
          <w:b/>
        </w:rPr>
        <w:t>公司简介和主要财务指标</w:t>
      </w:r>
      <w:r>
        <w:rPr>
          <w:b/>
        </w:rPr>
        <w:tab/>
      </w:r>
      <w:r>
        <w:rPr>
          <w:b/>
        </w:rPr>
        <w:fldChar w:fldCharType="begin"/>
      </w:r>
      <w:r>
        <w:rPr>
          <w:b/>
        </w:rPr>
        <w:instrText xml:space="preserve"> PAGEREF _Toc484510565 \h </w:instrText>
      </w:r>
      <w:r>
        <w:rPr>
          <w:b/>
        </w:rPr>
        <w:fldChar w:fldCharType="separate"/>
      </w:r>
      <w:r>
        <w:rPr>
          <w:b/>
        </w:rPr>
        <w:t>4</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"_Toc484510566" </w:instrText>
      </w:r>
      <w:r>
        <w:fldChar w:fldCharType="separate"/>
      </w:r>
      <w:r>
        <w:rPr>
          <w:rStyle w:val="34"/>
          <w:rFonts w:hint="eastAsia"/>
          <w:b/>
        </w:rPr>
        <w:t>第三节</w:t>
      </w:r>
      <w:r>
        <w:rPr>
          <w:rFonts w:asciiTheme="minorHAnsi" w:hAnsiTheme="minorHAnsi" w:eastAsiaTheme="minorEastAsia" w:cstheme="minorBidi"/>
          <w:b/>
          <w:szCs w:val="22"/>
        </w:rPr>
        <w:tab/>
      </w:r>
      <w:r>
        <w:rPr>
          <w:rStyle w:val="34"/>
          <w:rFonts w:hint="eastAsia"/>
          <w:b/>
        </w:rPr>
        <w:t>公司业务概要</w:t>
      </w:r>
      <w:r>
        <w:rPr>
          <w:b/>
        </w:rPr>
        <w:tab/>
      </w:r>
      <w:r>
        <w:rPr>
          <w:b/>
        </w:rPr>
        <w:fldChar w:fldCharType="begin"/>
      </w:r>
      <w:r>
        <w:rPr>
          <w:b/>
        </w:rPr>
        <w:instrText xml:space="preserve"> PAGEREF _Toc484510566 \h </w:instrText>
      </w:r>
      <w:r>
        <w:rPr>
          <w:b/>
        </w:rPr>
        <w:fldChar w:fldCharType="separate"/>
      </w:r>
      <w:r>
        <w:rPr>
          <w:b/>
        </w:rPr>
        <w:t>6</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"_Toc484510567" </w:instrText>
      </w:r>
      <w:r>
        <w:fldChar w:fldCharType="separate"/>
      </w:r>
      <w:r>
        <w:rPr>
          <w:rStyle w:val="34"/>
          <w:rFonts w:hint="eastAsia"/>
          <w:b/>
        </w:rPr>
        <w:t>第四节</w:t>
      </w:r>
      <w:r>
        <w:rPr>
          <w:rFonts w:asciiTheme="minorHAnsi" w:hAnsiTheme="minorHAnsi" w:eastAsiaTheme="minorEastAsia" w:cstheme="minorBidi"/>
          <w:b/>
          <w:szCs w:val="22"/>
        </w:rPr>
        <w:tab/>
      </w:r>
      <w:r>
        <w:rPr>
          <w:rStyle w:val="34"/>
          <w:rFonts w:hint="eastAsia"/>
          <w:b/>
        </w:rPr>
        <w:t>经营情况的讨论与分析</w:t>
      </w:r>
      <w:r>
        <w:rPr>
          <w:b/>
        </w:rPr>
        <w:tab/>
      </w:r>
      <w:r>
        <w:rPr>
          <w:b/>
        </w:rPr>
        <w:fldChar w:fldCharType="begin"/>
      </w:r>
      <w:r>
        <w:rPr>
          <w:b/>
        </w:rPr>
        <w:instrText xml:space="preserve"> PAGEREF _Toc484510567 \h </w:instrText>
      </w:r>
      <w:r>
        <w:rPr>
          <w:b/>
        </w:rPr>
        <w:fldChar w:fldCharType="separate"/>
      </w:r>
      <w:r>
        <w:rPr>
          <w:b/>
        </w:rPr>
        <w:t>9</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"_Toc484510568" </w:instrText>
      </w:r>
      <w:r>
        <w:fldChar w:fldCharType="separate"/>
      </w:r>
      <w:r>
        <w:rPr>
          <w:rStyle w:val="34"/>
          <w:rFonts w:hint="eastAsia"/>
          <w:b/>
        </w:rPr>
        <w:t>第五节</w:t>
      </w:r>
      <w:r>
        <w:rPr>
          <w:rFonts w:asciiTheme="minorHAnsi" w:hAnsiTheme="minorHAnsi" w:eastAsiaTheme="minorEastAsia" w:cstheme="minorBidi"/>
          <w:b/>
          <w:szCs w:val="22"/>
        </w:rPr>
        <w:tab/>
      </w:r>
      <w:r>
        <w:rPr>
          <w:rStyle w:val="34"/>
          <w:rFonts w:hint="eastAsia"/>
          <w:b/>
        </w:rPr>
        <w:t>重要事项</w:t>
      </w:r>
      <w:r>
        <w:rPr>
          <w:b/>
        </w:rPr>
        <w:tab/>
      </w:r>
      <w:r>
        <w:rPr>
          <w:b/>
        </w:rPr>
        <w:fldChar w:fldCharType="begin"/>
      </w:r>
      <w:r>
        <w:rPr>
          <w:b/>
        </w:rPr>
        <w:instrText xml:space="preserve"> PAGEREF _Toc484510568 \h </w:instrText>
      </w:r>
      <w:r>
        <w:rPr>
          <w:b/>
        </w:rPr>
        <w:fldChar w:fldCharType="separate"/>
      </w:r>
      <w:r>
        <w:rPr>
          <w:b/>
        </w:rPr>
        <w:t>13</w:t>
      </w:r>
      <w:r>
        <w:rPr>
          <w:b/>
        </w:rPr>
        <w:fldChar w:fldCharType="end"/>
      </w:r>
      <w:r>
        <w:rPr>
          <w:b/>
        </w:rPr>
        <w:fldChar w:fldCharType="end"/>
      </w:r>
      <w:bookmarkStart w:id="68" w:name="_GoBack"/>
      <w:bookmarkEnd w:id="68"/>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"_Toc484510569" </w:instrText>
      </w:r>
      <w:r>
        <w:fldChar w:fldCharType="separate"/>
      </w:r>
      <w:r>
        <w:rPr>
          <w:rStyle w:val="34"/>
          <w:rFonts w:hint="eastAsia"/>
          <w:b/>
        </w:rPr>
        <w:t>第六节</w:t>
      </w:r>
      <w:r>
        <w:rPr>
          <w:rFonts w:asciiTheme="minorHAnsi" w:hAnsiTheme="minorHAnsi" w:eastAsiaTheme="minorEastAsia" w:cstheme="minorBidi"/>
          <w:b/>
          <w:szCs w:val="22"/>
        </w:rPr>
        <w:tab/>
      </w:r>
      <w:r>
        <w:rPr>
          <w:rStyle w:val="34"/>
          <w:rFonts w:hint="eastAsia"/>
          <w:b/>
        </w:rPr>
        <w:t>普通股股份变动及股东情况</w:t>
      </w:r>
      <w:r>
        <w:rPr>
          <w:b/>
        </w:rPr>
        <w:tab/>
      </w:r>
      <w:r>
        <w:rPr>
          <w:b/>
        </w:rPr>
        <w:fldChar w:fldCharType="begin"/>
      </w:r>
      <w:r>
        <w:rPr>
          <w:b/>
        </w:rPr>
        <w:instrText xml:space="preserve"> PAGEREF _Toc484510569 \h </w:instrText>
      </w:r>
      <w:r>
        <w:rPr>
          <w:b/>
        </w:rPr>
        <w:fldChar w:fldCharType="separate"/>
      </w:r>
      <w:r>
        <w:rPr>
          <w:b/>
        </w:rPr>
        <w:t>20</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"_Toc484510570" </w:instrText>
      </w:r>
      <w:r>
        <w:fldChar w:fldCharType="separate"/>
      </w:r>
      <w:r>
        <w:rPr>
          <w:rStyle w:val="34"/>
          <w:rFonts w:hint="eastAsia"/>
          <w:b/>
        </w:rPr>
        <w:t>第七节</w:t>
      </w:r>
      <w:r>
        <w:rPr>
          <w:rFonts w:asciiTheme="minorHAnsi" w:hAnsiTheme="minorHAnsi" w:eastAsiaTheme="minorEastAsia" w:cstheme="minorBidi"/>
          <w:b/>
          <w:szCs w:val="22"/>
        </w:rPr>
        <w:tab/>
      </w:r>
      <w:r>
        <w:rPr>
          <w:rStyle w:val="34"/>
          <w:rFonts w:hint="eastAsia"/>
          <w:b/>
        </w:rPr>
        <w:t>优先股相关情况</w:t>
      </w:r>
      <w:r>
        <w:rPr>
          <w:b/>
        </w:rPr>
        <w:tab/>
      </w:r>
      <w:r>
        <w:rPr>
          <w:b/>
        </w:rPr>
        <w:fldChar w:fldCharType="begin"/>
      </w:r>
      <w:r>
        <w:rPr>
          <w:b/>
        </w:rPr>
        <w:instrText xml:space="preserve"> PAGEREF _Toc484510570 \h </w:instrText>
      </w:r>
      <w:r>
        <w:rPr>
          <w:b/>
        </w:rPr>
        <w:fldChar w:fldCharType="separate"/>
      </w:r>
      <w:r>
        <w:rPr>
          <w:b/>
        </w:rPr>
        <w:t>23</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"_Toc484510571" </w:instrText>
      </w:r>
      <w:r>
        <w:fldChar w:fldCharType="separate"/>
      </w:r>
      <w:r>
        <w:rPr>
          <w:rStyle w:val="34"/>
          <w:rFonts w:hint="eastAsia"/>
          <w:b/>
        </w:rPr>
        <w:t>第八节</w:t>
      </w:r>
      <w:r>
        <w:rPr>
          <w:rFonts w:asciiTheme="minorHAnsi" w:hAnsiTheme="minorHAnsi" w:eastAsiaTheme="minorEastAsia" w:cstheme="minorBidi"/>
          <w:b/>
          <w:szCs w:val="22"/>
        </w:rPr>
        <w:tab/>
      </w:r>
      <w:r>
        <w:rPr>
          <w:rStyle w:val="34"/>
          <w:rFonts w:hint="eastAsia"/>
          <w:b/>
        </w:rPr>
        <w:t>董事、监事、高级管理人员情况</w:t>
      </w:r>
      <w:r>
        <w:rPr>
          <w:b/>
        </w:rPr>
        <w:tab/>
      </w:r>
      <w:r>
        <w:rPr>
          <w:b/>
        </w:rPr>
        <w:fldChar w:fldCharType="begin"/>
      </w:r>
      <w:r>
        <w:rPr>
          <w:b/>
        </w:rPr>
        <w:instrText xml:space="preserve"> PAGEREF _Toc484510571 \h </w:instrText>
      </w:r>
      <w:r>
        <w:rPr>
          <w:b/>
        </w:rPr>
        <w:fldChar w:fldCharType="separate"/>
      </w:r>
      <w:r>
        <w:rPr>
          <w:b/>
        </w:rPr>
        <w:t>23</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"_Toc484510572" </w:instrText>
      </w:r>
      <w:r>
        <w:fldChar w:fldCharType="separate"/>
      </w:r>
      <w:r>
        <w:rPr>
          <w:rStyle w:val="34"/>
          <w:rFonts w:hint="eastAsia"/>
          <w:b/>
        </w:rPr>
        <w:t>第九节</w:t>
      </w:r>
      <w:r>
        <w:rPr>
          <w:rFonts w:asciiTheme="minorHAnsi" w:hAnsiTheme="minorHAnsi" w:eastAsiaTheme="minorEastAsia" w:cstheme="minorBidi"/>
          <w:b/>
          <w:szCs w:val="22"/>
        </w:rPr>
        <w:tab/>
      </w:r>
      <w:r>
        <w:rPr>
          <w:rStyle w:val="34"/>
          <w:rFonts w:hint="eastAsia"/>
          <w:b/>
        </w:rPr>
        <w:t>公司债券相关情况</w:t>
      </w:r>
      <w:r>
        <w:rPr>
          <w:b/>
        </w:rPr>
        <w:tab/>
      </w:r>
      <w:r>
        <w:rPr>
          <w:b/>
        </w:rPr>
        <w:fldChar w:fldCharType="begin"/>
      </w:r>
      <w:r>
        <w:rPr>
          <w:b/>
        </w:rPr>
        <w:instrText xml:space="preserve"> PAGEREF _Toc484510572 \h </w:instrText>
      </w:r>
      <w:r>
        <w:rPr>
          <w:b/>
        </w:rPr>
        <w:fldChar w:fldCharType="separate"/>
      </w:r>
      <w:r>
        <w:rPr>
          <w:b/>
        </w:rPr>
        <w:t>24</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"_Toc484510573" </w:instrText>
      </w:r>
      <w:r>
        <w:fldChar w:fldCharType="separate"/>
      </w:r>
      <w:r>
        <w:rPr>
          <w:rStyle w:val="34"/>
          <w:rFonts w:hint="eastAsia" w:ascii="宋体" w:hAnsi="宋体"/>
          <w:b/>
        </w:rPr>
        <w:t>第十节</w:t>
      </w:r>
      <w:r>
        <w:rPr>
          <w:rFonts w:asciiTheme="minorHAnsi" w:hAnsiTheme="minorHAnsi" w:eastAsiaTheme="minorEastAsia" w:cstheme="minorBidi"/>
          <w:b/>
          <w:szCs w:val="22"/>
        </w:rPr>
        <w:tab/>
      </w:r>
      <w:r>
        <w:rPr>
          <w:rStyle w:val="34"/>
          <w:rFonts w:hint="eastAsia" w:ascii="宋体" w:hAnsi="宋体"/>
          <w:b/>
        </w:rPr>
        <w:t>财务报告</w:t>
      </w:r>
      <w:r>
        <w:rPr>
          <w:b/>
        </w:rPr>
        <w:tab/>
      </w:r>
      <w:r>
        <w:rPr>
          <w:b/>
        </w:rPr>
        <w:fldChar w:fldCharType="begin"/>
      </w:r>
      <w:r>
        <w:rPr>
          <w:b/>
        </w:rPr>
        <w:instrText xml:space="preserve"> PAGEREF _Toc484510573 \h </w:instrText>
      </w:r>
      <w:r>
        <w:rPr>
          <w:b/>
        </w:rPr>
        <w:fldChar w:fldCharType="separate"/>
      </w:r>
      <w:r>
        <w:rPr>
          <w:b/>
        </w:rPr>
        <w:t>27</w:t>
      </w:r>
      <w:r>
        <w:rPr>
          <w:b/>
        </w:rPr>
        <w:fldChar w:fldCharType="end"/>
      </w:r>
      <w:r>
        <w:rPr>
          <w:b/>
        </w:rPr>
        <w:fldChar w:fldCharType="end"/>
      </w:r>
    </w:p>
    <w:p>
      <w:pPr>
        <w:pStyle w:val="25"/>
        <w:tabs>
          <w:tab w:val="left" w:pos="1260"/>
          <w:tab w:val="right" w:leader="dot" w:pos="8823"/>
        </w:tabs>
        <w:spacing w:line="360" w:lineRule="auto"/>
        <w:rPr>
          <w:rFonts w:asciiTheme="minorHAnsi" w:hAnsiTheme="minorHAnsi" w:eastAsiaTheme="minorEastAsia" w:cstheme="minorBidi"/>
          <w:b/>
          <w:szCs w:val="22"/>
        </w:rPr>
      </w:pPr>
      <w:r>
        <w:fldChar w:fldCharType="begin"/>
      </w:r>
      <w:r>
        <w:instrText xml:space="preserve"> HYPERLINK \l "_Toc484510574" </w:instrText>
      </w:r>
      <w:r>
        <w:fldChar w:fldCharType="separate"/>
      </w:r>
      <w:r>
        <w:rPr>
          <w:rStyle w:val="34"/>
          <w:rFonts w:hint="eastAsia" w:ascii="宋体" w:hAnsi="宋体"/>
          <w:b/>
        </w:rPr>
        <w:t>第十一节</w:t>
      </w:r>
      <w:r>
        <w:rPr>
          <w:rFonts w:asciiTheme="minorHAnsi" w:hAnsiTheme="minorHAnsi" w:eastAsiaTheme="minorEastAsia" w:cstheme="minorBidi"/>
          <w:b/>
          <w:szCs w:val="22"/>
        </w:rPr>
        <w:tab/>
      </w:r>
      <w:r>
        <w:rPr>
          <w:rStyle w:val="34"/>
          <w:rFonts w:hint="eastAsia" w:ascii="宋体" w:hAnsi="宋体"/>
          <w:b/>
        </w:rPr>
        <w:t>备查文件目录</w:t>
      </w:r>
      <w:r>
        <w:rPr>
          <w:b/>
        </w:rPr>
        <w:tab/>
      </w:r>
      <w:r>
        <w:rPr>
          <w:b/>
        </w:rPr>
        <w:fldChar w:fldCharType="begin"/>
      </w:r>
      <w:r>
        <w:rPr>
          <w:b/>
        </w:rPr>
        <w:instrText xml:space="preserve"> PAGEREF _Toc484510574 \h </w:instrText>
      </w:r>
      <w:r>
        <w:rPr>
          <w:b/>
        </w:rPr>
        <w:fldChar w:fldCharType="separate"/>
      </w:r>
      <w:r>
        <w:rPr>
          <w:b/>
        </w:rPr>
        <w:t>99</w:t>
      </w:r>
      <w:r>
        <w:rPr>
          <w:b/>
        </w:rPr>
        <w:fldChar w:fldCharType="end"/>
      </w:r>
      <w:r>
        <w:rPr>
          <w:b/>
        </w:rPr>
        <w:fldChar w:fldCharType="end"/>
      </w:r>
    </w:p>
    <w:p>
      <w:pPr>
        <w:kinsoku w:val="0"/>
        <w:overflowPunct w:val="0"/>
        <w:autoSpaceDE w:val="0"/>
        <w:autoSpaceDN w:val="0"/>
        <w:snapToGrid w:val="0"/>
        <w:spacing w:line="360" w:lineRule="exact"/>
        <w:jc w:val="center"/>
        <w:rPr>
          <w:shd w:val="pct10" w:color="auto" w:fill="FFFFFF"/>
        </w:rPr>
      </w:pPr>
      <w:r>
        <w:rPr>
          <w:shd w:val="pct10" w:color="auto" w:fill="FFFFFF"/>
        </w:rPr>
        <w:fldChar w:fldCharType="end"/>
      </w:r>
    </w:p>
    <w:p>
      <w:pPr>
        <w:pStyle w:val="76"/>
      </w:pPr>
      <w:r>
        <w:br w:type="page"/>
      </w:r>
    </w:p>
    <w:p>
      <w:pPr>
        <w:pStyle w:val="2"/>
        <w:numPr>
          <w:ilvl w:val="0"/>
          <w:numId w:val="2"/>
        </w:numPr>
      </w:pPr>
      <w:bookmarkStart w:id="1" w:name="_Toc484510564"/>
      <w:bookmarkStart w:id="2" w:name="_Toc342565880"/>
      <w:r>
        <w:rPr>
          <w:rFonts w:hint="eastAsia"/>
        </w:rPr>
        <w:t>释义</w:t>
      </w:r>
      <w:bookmarkEnd w:id="1"/>
    </w:p>
    <w:sdt>
      <w:sdtPr>
        <w:rPr>
          <w:b/>
          <w:bCs/>
          <w:szCs w:val="22"/>
        </w:rPr>
        <w:alias w:val="模块:释义"/>
        <w:tag w:val="_GBC_5d2d156d1e654b289921f6ca279d0332"/>
        <w:id w:val="25153493"/>
        <w:lock w:val="sdtLocked"/>
        <w:placeholder>
          <w:docPart w:val="GBC22222222222222222222222222222"/>
        </w:placeholder>
      </w:sdtPr>
      <w:sdtEndPr>
        <w:rPr>
          <w:b w:val="0"/>
          <w:bCs w:val="0"/>
          <w:szCs w:val="21"/>
        </w:rPr>
      </w:sdtEndPr>
      <w:sdtContent>
        <w:p>
          <w:pPr>
            <w:pStyle w:val="76"/>
          </w:pPr>
          <w:r>
            <w:t>在本报告书中，除非文义另有所指，下列词语具有如下含义：</w:t>
          </w:r>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67"/>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73bff14187b49a1b1c86b56316c5e47"/>
                <w:id w:val="25153456"/>
                <w:lock w:val="sdtLocked"/>
              </w:sdtPr>
              <w:sdtContent>
                <w:tc>
                  <w:tcPr>
                    <w:tcW w:w="9048" w:type="dxa"/>
                    <w:gridSpan w:val="3"/>
                  </w:tcPr>
                  <w:p>
                    <w:pPr>
                      <w:pStyle w:val="76"/>
                      <w:widowControl w:val="0"/>
                      <w:jc w:val="both"/>
                    </w:pPr>
                    <w:r>
                      <w:t>常用词语释义</w:t>
                    </w:r>
                  </w:p>
                </w:tc>
              </w:sdtContent>
            </w:sdt>
          </w:tr>
          <w:sdt>
            <w:sdtPr>
              <w:rPr>
                <w:rFonts w:hint="eastAsia" w:ascii="Calibri" w:hAnsi="Calibri" w:eastAsiaTheme="minorEastAsia" w:cstheme="minorBidi"/>
              </w:rPr>
              <w:alias w:val="释义"/>
              <w:tag w:val="_GBC_ca5c2cb7a4e545e2b2d9d1b94b528746"/>
              <w:id w:val="25153459"/>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中国证监会、证监会</w:t>
                    </w:r>
                  </w:p>
                </w:tc>
                <w:tc>
                  <w:tcPr>
                    <w:tcW w:w="567" w:type="dxa"/>
                  </w:tcPr>
                  <w:sdt>
                    <w:sdtPr>
                      <w:rPr>
                        <w:rFonts w:hint="eastAsia" w:ascii="Times New Roman" w:hAnsi="Times New Roman"/>
                      </w:rPr>
                      <w:tag w:val="_PLD_289cf7e5c3a845d59c038a21dcd4a571"/>
                      <w:id w:val="25153457"/>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58"/>
                    <w:lock w:val="sdtLocked"/>
                  </w:sdtPr>
                  <w:sdtEndPr>
                    <w:rPr>
                      <w:rFonts w:hint="eastAsia" w:ascii="Times New Roman" w:hAnsi="Times New Roman"/>
                    </w:rPr>
                  </w:sdtEndPr>
                  <w:sdtContent>
                    <w:tc>
                      <w:tcPr>
                        <w:tcW w:w="5821" w:type="dxa"/>
                      </w:tcPr>
                      <w:p>
                        <w:pPr>
                          <w:pStyle w:val="76"/>
                          <w:widowControl w:val="0"/>
                          <w:jc w:val="both"/>
                        </w:pPr>
                        <w:r>
                          <w:rPr>
                            <w:rFonts w:hint="eastAsia"/>
                          </w:rPr>
                          <w:t>中国证券监督管理委员会</w:t>
                        </w:r>
                      </w:p>
                    </w:tc>
                  </w:sdtContent>
                </w:sdt>
              </w:tr>
            </w:sdtContent>
          </w:sdt>
          <w:sdt>
            <w:sdtPr>
              <w:rPr>
                <w:rFonts w:hint="eastAsia" w:ascii="Calibri" w:hAnsi="Calibri" w:eastAsiaTheme="minorEastAsia" w:cstheme="minorBidi"/>
              </w:rPr>
              <w:alias w:val="释义"/>
              <w:tag w:val="_GBC_ca5c2cb7a4e545e2b2d9d1b94b528746"/>
              <w:id w:val="25153462"/>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上交所、交易所</w:t>
                    </w:r>
                  </w:p>
                </w:tc>
                <w:tc>
                  <w:tcPr>
                    <w:tcW w:w="567" w:type="dxa"/>
                  </w:tcPr>
                  <w:sdt>
                    <w:sdtPr>
                      <w:rPr>
                        <w:rFonts w:hint="eastAsia" w:ascii="Times New Roman" w:hAnsi="Times New Roman"/>
                      </w:rPr>
                      <w:tag w:val="_PLD_289cf7e5c3a845d59c038a21dcd4a571"/>
                      <w:id w:val="25153460"/>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61"/>
                    <w:lock w:val="sdtLocked"/>
                  </w:sdtPr>
                  <w:sdtEndPr>
                    <w:rPr>
                      <w:rFonts w:hint="eastAsia" w:ascii="Times New Roman" w:hAnsi="Times New Roman"/>
                    </w:rPr>
                  </w:sdtEndPr>
                  <w:sdtContent>
                    <w:tc>
                      <w:tcPr>
                        <w:tcW w:w="5821" w:type="dxa"/>
                      </w:tcPr>
                      <w:p>
                        <w:pPr>
                          <w:pStyle w:val="76"/>
                          <w:widowControl w:val="0"/>
                          <w:jc w:val="both"/>
                        </w:pPr>
                        <w:r>
                          <w:rPr>
                            <w:rFonts w:hint="eastAsia"/>
                          </w:rPr>
                          <w:t>上海证券交易所</w:t>
                        </w:r>
                      </w:p>
                    </w:tc>
                  </w:sdtContent>
                </w:sdt>
              </w:tr>
            </w:sdtContent>
          </w:sdt>
          <w:sdt>
            <w:sdtPr>
              <w:rPr>
                <w:rFonts w:hint="eastAsia" w:ascii="Calibri" w:hAnsi="Calibri" w:eastAsiaTheme="minorEastAsia" w:cstheme="minorBidi"/>
              </w:rPr>
              <w:alias w:val="释义"/>
              <w:tag w:val="_GBC_ca5c2cb7a4e545e2b2d9d1b94b528746"/>
              <w:id w:val="25153465"/>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公司、本公司或柳钢股份</w:t>
                    </w:r>
                  </w:p>
                </w:tc>
                <w:tc>
                  <w:tcPr>
                    <w:tcW w:w="567" w:type="dxa"/>
                  </w:tcPr>
                  <w:sdt>
                    <w:sdtPr>
                      <w:rPr>
                        <w:rFonts w:hint="eastAsia" w:ascii="Times New Roman" w:hAnsi="Times New Roman"/>
                      </w:rPr>
                      <w:tag w:val="_PLD_289cf7e5c3a845d59c038a21dcd4a571"/>
                      <w:id w:val="25153463"/>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64"/>
                    <w:lock w:val="sdtLocked"/>
                  </w:sdtPr>
                  <w:sdtEndPr>
                    <w:rPr>
                      <w:rFonts w:hint="eastAsia" w:ascii="Times New Roman" w:hAnsi="Times New Roman"/>
                    </w:rPr>
                  </w:sdtEndPr>
                  <w:sdtContent>
                    <w:tc>
                      <w:tcPr>
                        <w:tcW w:w="5821" w:type="dxa"/>
                      </w:tcPr>
                      <w:p>
                        <w:pPr>
                          <w:pStyle w:val="76"/>
                          <w:widowControl w:val="0"/>
                          <w:jc w:val="both"/>
                        </w:pPr>
                        <w:r>
                          <w:rPr>
                            <w:rFonts w:hint="eastAsia"/>
                          </w:rPr>
                          <w:t>柳州钢铁股份有限公司</w:t>
                        </w:r>
                      </w:p>
                    </w:tc>
                  </w:sdtContent>
                </w:sdt>
              </w:tr>
            </w:sdtContent>
          </w:sdt>
          <w:sdt>
            <w:sdtPr>
              <w:rPr>
                <w:rFonts w:hint="eastAsia" w:ascii="Calibri" w:hAnsi="Calibri" w:eastAsiaTheme="minorEastAsia" w:cstheme="minorBidi"/>
              </w:rPr>
              <w:alias w:val="释义"/>
              <w:tag w:val="_GBC_ca5c2cb7a4e545e2b2d9d1b94b528746"/>
              <w:id w:val="25153468"/>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柳钢</w:t>
                    </w:r>
                  </w:p>
                </w:tc>
                <w:tc>
                  <w:tcPr>
                    <w:tcW w:w="567" w:type="dxa"/>
                  </w:tcPr>
                  <w:sdt>
                    <w:sdtPr>
                      <w:rPr>
                        <w:rFonts w:hint="eastAsia" w:ascii="Times New Roman" w:hAnsi="Times New Roman"/>
                      </w:rPr>
                      <w:tag w:val="_PLD_289cf7e5c3a845d59c038a21dcd4a571"/>
                      <w:id w:val="25153466"/>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67"/>
                    <w:lock w:val="sdtLocked"/>
                  </w:sdtPr>
                  <w:sdtEndPr>
                    <w:rPr>
                      <w:rFonts w:hint="eastAsia" w:ascii="Times New Roman" w:hAnsi="Times New Roman"/>
                    </w:rPr>
                  </w:sdtEndPr>
                  <w:sdtContent>
                    <w:tc>
                      <w:tcPr>
                        <w:tcW w:w="5821" w:type="dxa"/>
                      </w:tcPr>
                      <w:p>
                        <w:pPr>
                          <w:pStyle w:val="76"/>
                          <w:widowControl w:val="0"/>
                          <w:jc w:val="both"/>
                        </w:pPr>
                        <w:r>
                          <w:rPr>
                            <w:rFonts w:hint="eastAsia"/>
                          </w:rPr>
                          <w:t>广西柳州钢铁集团有限公司及柳州钢铁股份有限公司</w:t>
                        </w:r>
                      </w:p>
                    </w:tc>
                  </w:sdtContent>
                </w:sdt>
              </w:tr>
            </w:sdtContent>
          </w:sdt>
          <w:sdt>
            <w:sdtPr>
              <w:rPr>
                <w:rFonts w:hint="eastAsia" w:ascii="Calibri" w:hAnsi="Calibri" w:eastAsiaTheme="minorEastAsia" w:cstheme="minorBidi"/>
              </w:rPr>
              <w:alias w:val="释义"/>
              <w:tag w:val="_GBC_ca5c2cb7a4e545e2b2d9d1b94b528746"/>
              <w:id w:val="25153471"/>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集团公司</w:t>
                    </w:r>
                  </w:p>
                </w:tc>
                <w:tc>
                  <w:tcPr>
                    <w:tcW w:w="567" w:type="dxa"/>
                  </w:tcPr>
                  <w:sdt>
                    <w:sdtPr>
                      <w:rPr>
                        <w:rFonts w:hint="eastAsia" w:ascii="Times New Roman" w:hAnsi="Times New Roman"/>
                      </w:rPr>
                      <w:tag w:val="_PLD_289cf7e5c3a845d59c038a21dcd4a571"/>
                      <w:id w:val="25153469"/>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70"/>
                    <w:lock w:val="sdtLocked"/>
                  </w:sdtPr>
                  <w:sdtEndPr>
                    <w:rPr>
                      <w:rFonts w:hint="eastAsia" w:ascii="Times New Roman" w:hAnsi="Times New Roman"/>
                    </w:rPr>
                  </w:sdtEndPr>
                  <w:sdtContent>
                    <w:tc>
                      <w:tcPr>
                        <w:tcW w:w="5821" w:type="dxa"/>
                      </w:tcPr>
                      <w:p>
                        <w:pPr>
                          <w:pStyle w:val="76"/>
                          <w:widowControl w:val="0"/>
                          <w:jc w:val="both"/>
                        </w:pPr>
                        <w:r>
                          <w:rPr>
                            <w:rFonts w:hint="eastAsia"/>
                          </w:rPr>
                          <w:t>广西柳州钢铁集团有限公司</w:t>
                        </w:r>
                      </w:p>
                    </w:tc>
                  </w:sdtContent>
                </w:sdt>
              </w:tr>
            </w:sdtContent>
          </w:sdt>
          <w:sdt>
            <w:sdtPr>
              <w:rPr>
                <w:rFonts w:hint="eastAsia" w:ascii="Calibri" w:hAnsi="Calibri" w:eastAsiaTheme="minorEastAsia" w:cstheme="minorBidi"/>
              </w:rPr>
              <w:alias w:val="释义"/>
              <w:tag w:val="_GBC_ca5c2cb7a4e545e2b2d9d1b94b528746"/>
              <w:id w:val="25153474"/>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广西国资委</w:t>
                    </w:r>
                  </w:p>
                </w:tc>
                <w:tc>
                  <w:tcPr>
                    <w:tcW w:w="567" w:type="dxa"/>
                  </w:tcPr>
                  <w:sdt>
                    <w:sdtPr>
                      <w:rPr>
                        <w:rFonts w:hint="eastAsia" w:ascii="Times New Roman" w:hAnsi="Times New Roman"/>
                      </w:rPr>
                      <w:tag w:val="_PLD_289cf7e5c3a845d59c038a21dcd4a571"/>
                      <w:id w:val="25153472"/>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73"/>
                    <w:lock w:val="sdtLocked"/>
                  </w:sdtPr>
                  <w:sdtEndPr>
                    <w:rPr>
                      <w:rFonts w:hint="eastAsia" w:ascii="Times New Roman" w:hAnsi="Times New Roman"/>
                    </w:rPr>
                  </w:sdtEndPr>
                  <w:sdtContent>
                    <w:tc>
                      <w:tcPr>
                        <w:tcW w:w="5821" w:type="dxa"/>
                      </w:tcPr>
                      <w:p>
                        <w:pPr>
                          <w:pStyle w:val="76"/>
                          <w:widowControl w:val="0"/>
                          <w:jc w:val="both"/>
                        </w:pPr>
                        <w:r>
                          <w:rPr>
                            <w:rFonts w:hint="eastAsia"/>
                          </w:rPr>
                          <w:t>广西壮族自治区人民政府国有资产监督管理委员会</w:t>
                        </w:r>
                      </w:p>
                    </w:tc>
                  </w:sdtContent>
                </w:sdt>
              </w:tr>
            </w:sdtContent>
          </w:sdt>
          <w:sdt>
            <w:sdtPr>
              <w:rPr>
                <w:rFonts w:hint="eastAsia" w:ascii="Calibri" w:hAnsi="Calibri" w:eastAsiaTheme="minorEastAsia" w:cstheme="minorBidi"/>
              </w:rPr>
              <w:alias w:val="释义"/>
              <w:tag w:val="_GBC_ca5c2cb7a4e545e2b2d9d1b94b528746"/>
              <w:id w:val="25153477"/>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广西证监局</w:t>
                    </w:r>
                  </w:p>
                </w:tc>
                <w:tc>
                  <w:tcPr>
                    <w:tcW w:w="567" w:type="dxa"/>
                  </w:tcPr>
                  <w:sdt>
                    <w:sdtPr>
                      <w:rPr>
                        <w:rFonts w:hint="eastAsia" w:ascii="Times New Roman" w:hAnsi="Times New Roman"/>
                      </w:rPr>
                      <w:tag w:val="_PLD_289cf7e5c3a845d59c038a21dcd4a571"/>
                      <w:id w:val="25153475"/>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76"/>
                    <w:lock w:val="sdtLocked"/>
                  </w:sdtPr>
                  <w:sdtEndPr>
                    <w:rPr>
                      <w:rFonts w:hint="eastAsia" w:ascii="Times New Roman" w:hAnsi="Times New Roman"/>
                    </w:rPr>
                  </w:sdtEndPr>
                  <w:sdtContent>
                    <w:tc>
                      <w:tcPr>
                        <w:tcW w:w="5821" w:type="dxa"/>
                      </w:tcPr>
                      <w:p>
                        <w:pPr>
                          <w:pStyle w:val="76"/>
                          <w:widowControl w:val="0"/>
                          <w:jc w:val="both"/>
                        </w:pPr>
                        <w:r>
                          <w:rPr>
                            <w:rFonts w:hint="eastAsia"/>
                          </w:rPr>
                          <w:t>中国证券监督管理委员会广西监管局</w:t>
                        </w:r>
                      </w:p>
                    </w:tc>
                  </w:sdtContent>
                </w:sdt>
              </w:tr>
            </w:sdtContent>
          </w:sdt>
          <w:sdt>
            <w:sdtPr>
              <w:rPr>
                <w:rFonts w:hint="eastAsia" w:ascii="Calibri" w:hAnsi="Calibri" w:eastAsiaTheme="minorEastAsia" w:cstheme="minorBidi"/>
              </w:rPr>
              <w:alias w:val="释义"/>
              <w:tag w:val="_GBC_ca5c2cb7a4e545e2b2d9d1b94b528746"/>
              <w:id w:val="25153480"/>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《公司法》</w:t>
                    </w:r>
                  </w:p>
                </w:tc>
                <w:tc>
                  <w:tcPr>
                    <w:tcW w:w="567" w:type="dxa"/>
                  </w:tcPr>
                  <w:sdt>
                    <w:sdtPr>
                      <w:rPr>
                        <w:rFonts w:hint="eastAsia" w:ascii="Times New Roman" w:hAnsi="Times New Roman"/>
                      </w:rPr>
                      <w:tag w:val="_PLD_289cf7e5c3a845d59c038a21dcd4a571"/>
                      <w:id w:val="25153478"/>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79"/>
                    <w:lock w:val="sdtLocked"/>
                  </w:sdtPr>
                  <w:sdtEndPr>
                    <w:rPr>
                      <w:rFonts w:hint="eastAsia" w:ascii="Times New Roman" w:hAnsi="Times New Roman"/>
                    </w:rPr>
                  </w:sdtEndPr>
                  <w:sdtContent>
                    <w:tc>
                      <w:tcPr>
                        <w:tcW w:w="5821" w:type="dxa"/>
                      </w:tcPr>
                      <w:p>
                        <w:pPr>
                          <w:pStyle w:val="76"/>
                          <w:widowControl w:val="0"/>
                          <w:jc w:val="both"/>
                        </w:pPr>
                        <w:r>
                          <w:rPr>
                            <w:rFonts w:hint="eastAsia"/>
                          </w:rPr>
                          <w:t>《中华人民共和国公司法》</w:t>
                        </w:r>
                      </w:p>
                    </w:tc>
                  </w:sdtContent>
                </w:sdt>
              </w:tr>
            </w:sdtContent>
          </w:sdt>
          <w:sdt>
            <w:sdtPr>
              <w:rPr>
                <w:rFonts w:hint="eastAsia" w:ascii="Calibri" w:hAnsi="Calibri" w:eastAsiaTheme="minorEastAsia" w:cstheme="minorBidi"/>
              </w:rPr>
              <w:alias w:val="释义"/>
              <w:tag w:val="_GBC_ca5c2cb7a4e545e2b2d9d1b94b528746"/>
              <w:id w:val="25153483"/>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报告期</w:t>
                    </w:r>
                  </w:p>
                </w:tc>
                <w:tc>
                  <w:tcPr>
                    <w:tcW w:w="567" w:type="dxa"/>
                  </w:tcPr>
                  <w:sdt>
                    <w:sdtPr>
                      <w:rPr>
                        <w:rFonts w:hint="eastAsia" w:ascii="Times New Roman" w:hAnsi="Times New Roman"/>
                      </w:rPr>
                      <w:tag w:val="_PLD_289cf7e5c3a845d59c038a21dcd4a571"/>
                      <w:id w:val="25153481"/>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82"/>
                    <w:lock w:val="sdtLocked"/>
                  </w:sdtPr>
                  <w:sdtEndPr>
                    <w:rPr>
                      <w:rFonts w:hint="eastAsia" w:ascii="Times New Roman" w:hAnsi="Times New Roman"/>
                    </w:rPr>
                  </w:sdtEndPr>
                  <w:sdtContent>
                    <w:tc>
                      <w:tcPr>
                        <w:tcW w:w="5821" w:type="dxa"/>
                      </w:tcPr>
                      <w:p>
                        <w:pPr>
                          <w:pStyle w:val="76"/>
                          <w:widowControl w:val="0"/>
                          <w:jc w:val="both"/>
                        </w:pPr>
                        <w:r>
                          <w:rPr>
                            <w:rFonts w:hint="eastAsia"/>
                          </w:rPr>
                          <w:t>2018年上半年</w:t>
                        </w:r>
                      </w:p>
                    </w:tc>
                  </w:sdtContent>
                </w:sdt>
              </w:tr>
            </w:sdtContent>
          </w:sdt>
          <w:sdt>
            <w:sdtPr>
              <w:rPr>
                <w:rFonts w:hint="eastAsia" w:ascii="Calibri" w:hAnsi="Calibri" w:eastAsiaTheme="minorEastAsia" w:cstheme="minorBidi"/>
              </w:rPr>
              <w:alias w:val="释义"/>
              <w:tag w:val="_GBC_ca5c2cb7a4e545e2b2d9d1b94b528746"/>
              <w:id w:val="25153486"/>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董事会</w:t>
                    </w:r>
                  </w:p>
                </w:tc>
                <w:tc>
                  <w:tcPr>
                    <w:tcW w:w="567" w:type="dxa"/>
                  </w:tcPr>
                  <w:sdt>
                    <w:sdtPr>
                      <w:rPr>
                        <w:rFonts w:hint="eastAsia" w:ascii="Times New Roman" w:hAnsi="Times New Roman"/>
                      </w:rPr>
                      <w:tag w:val="_PLD_289cf7e5c3a845d59c038a21dcd4a571"/>
                      <w:id w:val="25153484"/>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85"/>
                    <w:lock w:val="sdtLocked"/>
                  </w:sdtPr>
                  <w:sdtEndPr>
                    <w:rPr>
                      <w:rFonts w:hint="eastAsia" w:ascii="Times New Roman" w:hAnsi="Times New Roman"/>
                    </w:rPr>
                  </w:sdtEndPr>
                  <w:sdtContent>
                    <w:tc>
                      <w:tcPr>
                        <w:tcW w:w="5821" w:type="dxa"/>
                      </w:tcPr>
                      <w:p>
                        <w:pPr>
                          <w:pStyle w:val="76"/>
                          <w:widowControl w:val="0"/>
                          <w:jc w:val="both"/>
                        </w:pPr>
                        <w:r>
                          <w:rPr>
                            <w:rFonts w:hint="eastAsia"/>
                          </w:rPr>
                          <w:t>柳州钢铁股份有限公司董事会</w:t>
                        </w:r>
                      </w:p>
                    </w:tc>
                  </w:sdtContent>
                </w:sdt>
              </w:tr>
            </w:sdtContent>
          </w:sdt>
          <w:sdt>
            <w:sdtPr>
              <w:rPr>
                <w:rFonts w:hint="eastAsia" w:ascii="Calibri" w:hAnsi="Calibri" w:eastAsiaTheme="minorEastAsia" w:cstheme="minorBidi"/>
              </w:rPr>
              <w:alias w:val="释义"/>
              <w:tag w:val="_GBC_ca5c2cb7a4e545e2b2d9d1b94b528746"/>
              <w:id w:val="25153489"/>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股东大会</w:t>
                    </w:r>
                  </w:p>
                </w:tc>
                <w:tc>
                  <w:tcPr>
                    <w:tcW w:w="567" w:type="dxa"/>
                  </w:tcPr>
                  <w:sdt>
                    <w:sdtPr>
                      <w:rPr>
                        <w:rFonts w:hint="eastAsia" w:ascii="Times New Roman" w:hAnsi="Times New Roman"/>
                      </w:rPr>
                      <w:tag w:val="_PLD_289cf7e5c3a845d59c038a21dcd4a571"/>
                      <w:id w:val="25153487"/>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88"/>
                    <w:lock w:val="sdtLocked"/>
                  </w:sdtPr>
                  <w:sdtEndPr>
                    <w:rPr>
                      <w:rFonts w:hint="eastAsia" w:ascii="Times New Roman" w:hAnsi="Times New Roman"/>
                    </w:rPr>
                  </w:sdtEndPr>
                  <w:sdtContent>
                    <w:tc>
                      <w:tcPr>
                        <w:tcW w:w="5821" w:type="dxa"/>
                      </w:tcPr>
                      <w:p>
                        <w:pPr>
                          <w:pStyle w:val="76"/>
                          <w:widowControl w:val="0"/>
                          <w:jc w:val="both"/>
                        </w:pPr>
                        <w:r>
                          <w:rPr>
                            <w:rFonts w:hint="eastAsia"/>
                          </w:rPr>
                          <w:t>柳州钢铁股份有限公司股东大会</w:t>
                        </w:r>
                      </w:p>
                    </w:tc>
                  </w:sdtContent>
                </w:sdt>
              </w:tr>
            </w:sdtContent>
          </w:sdt>
          <w:sdt>
            <w:sdtPr>
              <w:rPr>
                <w:rFonts w:hint="eastAsia" w:ascii="Calibri" w:hAnsi="Calibri" w:eastAsiaTheme="minorEastAsia" w:cstheme="minorBidi"/>
              </w:rPr>
              <w:alias w:val="释义"/>
              <w:tag w:val="_GBC_ca5c2cb7a4e545e2b2d9d1b94b528746"/>
              <w:id w:val="25153492"/>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76"/>
                      <w:widowControl w:val="0"/>
                      <w:jc w:val="both"/>
                    </w:pPr>
                    <w:r>
                      <w:t>元、万元、亿元</w:t>
                    </w:r>
                  </w:p>
                </w:tc>
                <w:tc>
                  <w:tcPr>
                    <w:tcW w:w="567" w:type="dxa"/>
                  </w:tcPr>
                  <w:sdt>
                    <w:sdtPr>
                      <w:rPr>
                        <w:rFonts w:hint="eastAsia" w:ascii="Times New Roman" w:hAnsi="Times New Roman"/>
                      </w:rPr>
                      <w:tag w:val="_PLD_289cf7e5c3a845d59c038a21dcd4a571"/>
                      <w:id w:val="25153490"/>
                      <w:lock w:val="sdtLocked"/>
                    </w:sdtPr>
                    <w:sdtEndPr>
                      <w:rPr>
                        <w:rFonts w:hint="eastAsia" w:ascii="Times New Roman" w:hAnsi="Times New Roman"/>
                      </w:rPr>
                    </w:sdtEndPr>
                    <w:sdtContent>
                      <w:p>
                        <w:pPr>
                          <w:widowControl w:val="0"/>
                          <w:jc w:val="center"/>
                          <w:rPr>
                            <w:highlight w:val="lightGray"/>
                          </w:rPr>
                        </w:pPr>
                        <w:r>
                          <w:rPr>
                            <w:rFonts w:hint="eastAsia"/>
                          </w:rPr>
                          <w:t>指</w:t>
                        </w:r>
                      </w:p>
                    </w:sdtContent>
                  </w:sdt>
                </w:tc>
                <w:sdt>
                  <w:sdtPr>
                    <w:rPr>
                      <w:rFonts w:hint="eastAsia" w:ascii="Times New Roman" w:hAnsi="Times New Roman"/>
                    </w:rPr>
                    <w:alias w:val="常用词语释义"/>
                    <w:tag w:val="_GBC_b625dd71b03542c3b074c2ce59de70ad"/>
                    <w:id w:val="25153491"/>
                    <w:lock w:val="sdtLocked"/>
                  </w:sdtPr>
                  <w:sdtEndPr>
                    <w:rPr>
                      <w:rFonts w:hint="eastAsia" w:ascii="Times New Roman" w:hAnsi="Times New Roman"/>
                    </w:rPr>
                  </w:sdtEndPr>
                  <w:sdtContent>
                    <w:tc>
                      <w:tcPr>
                        <w:tcW w:w="5821" w:type="dxa"/>
                      </w:tcPr>
                      <w:p>
                        <w:pPr>
                          <w:pStyle w:val="76"/>
                          <w:widowControl w:val="0"/>
                          <w:jc w:val="both"/>
                        </w:pPr>
                        <w:r>
                          <w:rPr>
                            <w:rFonts w:hint="eastAsia"/>
                          </w:rPr>
                          <w:t>人民币元、人民币万元、人民币亿元</w:t>
                        </w:r>
                      </w:p>
                    </w:tc>
                  </w:sdtContent>
                </w:sdt>
              </w:tr>
            </w:sdtContent>
          </w:sdt>
        </w:tbl>
        <w:p>
          <w:pPr>
            <w:pStyle w:val="76"/>
          </w:pPr>
        </w:p>
        <w:p>
          <w:pPr>
            <w:pStyle w:val="76"/>
          </w:pPr>
        </w:p>
      </w:sdtContent>
    </w:sdt>
    <w:p>
      <w:pPr>
        <w:pStyle w:val="76"/>
      </w:pPr>
    </w:p>
    <w:p>
      <w:pPr>
        <w:pStyle w:val="76"/>
      </w:pPr>
    </w:p>
    <w:p>
      <w:pPr>
        <w:pStyle w:val="2"/>
        <w:numPr>
          <w:ilvl w:val="0"/>
          <w:numId w:val="2"/>
        </w:numPr>
        <w:rPr>
          <w:color w:val="FF0000"/>
          <w:u w:val="single"/>
        </w:rPr>
      </w:pPr>
      <w:bookmarkStart w:id="3" w:name="_Toc484510565"/>
      <w:r>
        <w:rPr>
          <w:rFonts w:hint="eastAsia"/>
        </w:rPr>
        <w:t>公司简介</w:t>
      </w:r>
      <w:bookmarkEnd w:id="2"/>
      <w:r>
        <w:rPr>
          <w:rFonts w:hint="eastAsia"/>
        </w:rPr>
        <w:t>和主要财务指标</w:t>
      </w:r>
      <w:bookmarkEnd w:id="3"/>
    </w:p>
    <w:sdt>
      <w:sdtPr>
        <w:rPr>
          <w:rFonts w:hint="eastAsia" w:ascii="Calibri" w:hAnsi="Calibri"/>
          <w:b w:val="0"/>
          <w:bCs w:val="0"/>
          <w:sz w:val="24"/>
          <w:szCs w:val="22"/>
        </w:rPr>
        <w:alias w:val="模块:公司信息"/>
        <w:tag w:val="_GBC_aa763dfc67ed4eac9000c019cc1ff258"/>
        <w:id w:val="25153501"/>
        <w:lock w:val="sdtLocked"/>
        <w:placeholder>
          <w:docPart w:val="GBC22222222222222222222222222222"/>
        </w:placeholder>
      </w:sdtPr>
      <w:sdtEndPr>
        <w:rPr>
          <w:rFonts w:hint="eastAsia" w:ascii="宋体" w:hAnsi="宋体"/>
          <w:b w:val="0"/>
          <w:bCs w:val="0"/>
          <w:sz w:val="21"/>
          <w:szCs w:val="21"/>
        </w:rPr>
      </w:sdtEndPr>
      <w:sdtContent>
        <w:p>
          <w:pPr>
            <w:pStyle w:val="3"/>
            <w:numPr>
              <w:ilvl w:val="1"/>
              <w:numId w:val="3"/>
            </w:numPr>
            <w:ind w:left="566" w:hanging="566" w:hangingChars="236"/>
          </w:pPr>
          <w:bookmarkStart w:id="4" w:name="_Toc342565881"/>
          <w:bookmarkStart w:id="5" w:name="_Toc342051041"/>
          <w:r>
            <w:rPr>
              <w:rFonts w:hint="eastAsia"/>
            </w:rPr>
            <w:t>公司信息</w:t>
          </w:r>
          <w:bookmarkEnd w:id="4"/>
          <w:bookmarkEnd w:id="5"/>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72cd7a5ecc1420488735479d42bf939"/>
                <w:id w:val="25153494"/>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rPr>
                        <w:rFonts w:hint="eastAsia"/>
                      </w:rPr>
                      <w:t>公司的中文名称</w:t>
                    </w:r>
                  </w:p>
                </w:tc>
              </w:sdtContent>
            </w:sdt>
            <w:sdt>
              <w:sdtPr>
                <w:rPr>
                  <w:rFonts w:hint="eastAsia"/>
                </w:rPr>
                <w:alias w:val="公司法定中文名称"/>
                <w:tag w:val="_GBC_6f7f4fb261c84402a309f1371502ca4f"/>
                <w:id w:val="25153495"/>
                <w:lock w:val="sdtLocked"/>
                <w15:dataBinding w:prefixMappings="xmlns:clcid-cgi='clcid-cgi'" w:xpath="/*/clcid-cgi:GongSiFaDingZhongWenMingCheng[not(@periodRef)]" w:storeItemID="{89EBAB94-44A0-46A2-B712-30D997D04A6D}"/>
                <w:text/>
              </w:sdtPr>
              <w:sdtEndPr>
                <w:rPr>
                  <w:rFonts w:hint="eastAsia"/>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rPr>
                        <w:color w:val="FFC000"/>
                      </w:rPr>
                    </w:pPr>
                    <w:r>
                      <w:rPr>
                        <w:rFonts w:hint="eastAsia"/>
                      </w:rPr>
                      <w:t>柳州钢铁股份有限公司</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8eb858f464044693a8d56b2fb5bf4064"/>
                <w:id w:val="25153496"/>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rPr>
                        <w:rFonts w:hint="eastAsia"/>
                      </w:rPr>
                      <w:t>公司的中文简称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柳钢股份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d0fcb2dfd03a44bfb413f503945ba2fb"/>
                <w:id w:val="25153497"/>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公司的外文名称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LIUZHOU IRON&amp;STEEL CO., LTD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b5f89c94b3dc4510b2035a96ac69493a"/>
                <w:id w:val="25153498"/>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公司的外文名称缩写</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LIUSTEELCO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af8be2c600724acab3e545cfcbaa3ccf"/>
                <w:id w:val="25153499"/>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公司的法定代表人</w:t>
                    </w:r>
                  </w:p>
                </w:tc>
              </w:sdtContent>
            </w:sdt>
            <w:sdt>
              <w:sdtPr>
                <w:rPr>
                  <w:rFonts w:hint="eastAsia"/>
                </w:rPr>
                <w:alias w:val="公司法定代表人"/>
                <w:tag w:val="_GBC_71327a0d8afa49e1aba9d42a68663413"/>
                <w:id w:val="25153500"/>
                <w:lock w:val="sdtLocked"/>
                <w15:dataBinding w:prefixMappings="xmlns:clcid-cgi='clcid-cgi'" w:xpath="/*/clcid-cgi:GongSiFaDingDaiBiaoRen[not(@periodRef)]" w:storeItemID="{89EBAB94-44A0-46A2-B712-30D997D04A6D}"/>
                <w:text/>
              </w:sdtPr>
              <w:sdtEndPr>
                <w:rPr>
                  <w:rFonts w:hint="eastAsia"/>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rPr>
                        <w:rFonts w:hint="eastAsia"/>
                      </w:rPr>
                      <w:t>陈有升</w:t>
                    </w:r>
                  </w:p>
                </w:tc>
              </w:sdtContent>
            </w:sdt>
          </w:tr>
        </w:tbl>
        <w:p>
          <w:pPr>
            <w:pStyle w:val="76"/>
          </w:pPr>
        </w:p>
      </w:sdtContent>
    </w:sdt>
    <w:p>
      <w:pPr>
        <w:kinsoku w:val="0"/>
        <w:overflowPunct w:val="0"/>
        <w:autoSpaceDE w:val="0"/>
        <w:autoSpaceDN w:val="0"/>
        <w:snapToGrid w:val="0"/>
      </w:pPr>
    </w:p>
    <w:sdt>
      <w:sdtPr>
        <w:rPr>
          <w:rFonts w:hint="eastAsia" w:ascii="Calibri" w:hAnsi="Calibri"/>
          <w:b w:val="0"/>
          <w:bCs w:val="0"/>
          <w:sz w:val="24"/>
          <w:szCs w:val="22"/>
        </w:rPr>
        <w:alias w:val="模块:联系人和联系方式"/>
        <w:tag w:val="_GBC_c68db6bd18a148f3a9683d04b791123b"/>
        <w:id w:val="25153509"/>
        <w:lock w:val="sdtLocked"/>
        <w:placeholder>
          <w:docPart w:val="GBC22222222222222222222222222222"/>
        </w:placeholder>
      </w:sdtPr>
      <w:sdtEndPr>
        <w:rPr>
          <w:rFonts w:hint="eastAsia" w:ascii="宋体" w:hAnsi="宋体"/>
          <w:b w:val="0"/>
          <w:bCs w:val="0"/>
          <w:sz w:val="21"/>
          <w:szCs w:val="21"/>
        </w:rPr>
      </w:sdtEndPr>
      <w:sdtContent>
        <w:p>
          <w:pPr>
            <w:pStyle w:val="3"/>
            <w:numPr>
              <w:ilvl w:val="1"/>
              <w:numId w:val="3"/>
            </w:numPr>
            <w:ind w:left="566" w:hanging="566" w:hangingChars="236"/>
          </w:pPr>
          <w:bookmarkStart w:id="6" w:name="_Toc342051042"/>
          <w:bookmarkStart w:id="7" w:name="_Toc342565882"/>
          <w:r>
            <w:rPr>
              <w:rFonts w:hint="eastAsia"/>
            </w:rPr>
            <w:t>联系人和联系方式</w:t>
          </w:r>
          <w:bookmarkEnd w:id="6"/>
          <w:bookmarkEnd w:id="7"/>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2963"/>
            <w:gridCol w:w="2965"/>
            <w:gridCol w:w="2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p>
            </w:tc>
            <w:sdt>
              <w:sdtPr>
                <w:tag w:val="_PLD_d0432012a3f249c3b4fdd759ff340e86"/>
                <w:id w:val="25153502"/>
                <w:lock w:val="sdtLocked"/>
              </w:sdtPr>
              <w:sdtContent>
                <w:tc>
                  <w:tcPr>
                    <w:tcW w:w="2965" w:type="dxa"/>
                    <w:tcBorders>
                      <w:top w:val="single" w:color="auto" w:sz="4" w:space="0"/>
                      <w:left w:val="single" w:color="auto" w:sz="4" w:space="0"/>
                      <w:bottom w:val="single" w:color="auto" w:sz="4" w:space="0"/>
                      <w:right w:val="single" w:color="auto" w:sz="4" w:space="0"/>
                    </w:tcBorders>
                    <w:shd w:val="clear" w:color="auto" w:fill="auto"/>
                  </w:tcPr>
                  <w:p>
                    <w:pPr>
                      <w:pStyle w:val="14"/>
                      <w:kinsoku w:val="0"/>
                      <w:overflowPunct w:val="0"/>
                      <w:autoSpaceDE w:val="0"/>
                      <w:autoSpaceDN w:val="0"/>
                      <w:adjustRightInd w:val="0"/>
                      <w:snapToGrid w:val="0"/>
                      <w:jc w:val="center"/>
                      <w:rPr>
                        <w:rFonts w:ascii="宋体" w:hAnsi="宋体"/>
                        <w:color w:val="008000"/>
                      </w:rPr>
                    </w:pPr>
                    <w:r>
                      <w:rPr>
                        <w:rFonts w:hint="eastAsia" w:ascii="宋体" w:hAnsi="宋体"/>
                      </w:rPr>
                      <w:t>董事会秘书</w:t>
                    </w:r>
                  </w:p>
                </w:tc>
              </w:sdtContent>
            </w:sdt>
            <w:sdt>
              <w:sdtPr>
                <w:tag w:val="_PLD_3a25396416c14d2cb0688ae0ac8a1d4d"/>
                <w:id w:val="25153503"/>
                <w:lock w:val="sdtLocked"/>
              </w:sdtPr>
              <w:sdtContent>
                <w:tc>
                  <w:tcPr>
                    <w:tcW w:w="2965" w:type="dxa"/>
                    <w:tcBorders>
                      <w:top w:val="single" w:color="auto" w:sz="4" w:space="0"/>
                      <w:left w:val="single" w:color="auto" w:sz="4" w:space="0"/>
                      <w:bottom w:val="single" w:color="auto" w:sz="4" w:space="0"/>
                    </w:tcBorders>
                    <w:shd w:val="clear" w:color="auto" w:fill="auto"/>
                  </w:tcPr>
                  <w:p>
                    <w:pPr>
                      <w:pStyle w:val="14"/>
                      <w:kinsoku w:val="0"/>
                      <w:overflowPunct w:val="0"/>
                      <w:autoSpaceDE w:val="0"/>
                      <w:autoSpaceDN w:val="0"/>
                      <w:adjustRightInd w:val="0"/>
                      <w:snapToGrid w:val="0"/>
                      <w:jc w:val="center"/>
                      <w:rPr>
                        <w:rFonts w:ascii="宋体" w:hAnsi="宋体"/>
                      </w:rPr>
                    </w:pPr>
                    <w:r>
                      <w:rPr>
                        <w:rFonts w:hint="eastAsia" w:ascii="宋体" w:hAnsi="宋体"/>
                      </w:rPr>
                      <w:t>证券事务代表</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c18fe8824f6a4cb6b9318e599fe71657"/>
                <w:id w:val="25153504"/>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rPr>
                        <w:rFonts w:hint="eastAsia"/>
                      </w:rPr>
                      <w:t>姓名</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napToGrid w:val="0"/>
                </w:pPr>
                <w:r>
                  <w:t>裴侃</w:t>
                </w:r>
              </w:p>
            </w:tc>
            <w:tc>
              <w:tcPr>
                <w:tcW w:w="2965" w:type="dxa"/>
                <w:tcBorders>
                  <w:top w:val="single" w:color="auto" w:sz="4" w:space="0"/>
                  <w:left w:val="single" w:color="auto" w:sz="4" w:space="0"/>
                  <w:bottom w:val="single" w:color="auto" w:sz="4" w:space="0"/>
                </w:tcBorders>
              </w:tcPr>
              <w:p>
                <w:pPr>
                  <w:kinsoku w:val="0"/>
                  <w:overflowPunct w:val="0"/>
                  <w:autoSpaceDE w:val="0"/>
                  <w:autoSpaceDN w:val="0"/>
                  <w:snapToGrid w:val="0"/>
                </w:pPr>
                <w:r>
                  <w:rPr>
                    <w:rFonts w:hint="eastAsia"/>
                  </w:rPr>
                  <w:t>邓旋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7d3032f58380420991f3cbceac5e81fd"/>
                <w:id w:val="25153505"/>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rPr>
                        <w:rFonts w:hint="eastAsia"/>
                      </w:rPr>
                      <w:t>联系地址</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napToGrid w:val="0"/>
                </w:pPr>
                <w:r>
                  <w:t>广西柳州市北雀路117号</w:t>
                </w:r>
              </w:p>
            </w:tc>
            <w:tc>
              <w:tcPr>
                <w:tcW w:w="2965" w:type="dxa"/>
                <w:tcBorders>
                  <w:top w:val="single" w:color="auto" w:sz="4" w:space="0"/>
                  <w:left w:val="single" w:color="auto" w:sz="4" w:space="0"/>
                  <w:bottom w:val="single" w:color="auto" w:sz="4" w:space="0"/>
                </w:tcBorders>
              </w:tcPr>
              <w:p>
                <w:pPr>
                  <w:kinsoku w:val="0"/>
                  <w:overflowPunct w:val="0"/>
                  <w:autoSpaceDE w:val="0"/>
                  <w:autoSpaceDN w:val="0"/>
                  <w:snapToGrid w:val="0"/>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84ed4619f9cd46ba8ed261c2524b976d"/>
                <w:id w:val="25153506"/>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电话</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napToGrid w:val="0"/>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snapToGrid w:val="0"/>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53ff1b9808534a99b3bbc1bc09dac246"/>
                <w:id w:val="25153507"/>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传真</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napToGrid w:val="0"/>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snapToGrid w:val="0"/>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18165b6e55e1423db094125dc7ac3ad0"/>
                <w:id w:val="25153508"/>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电子信箱</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napToGrid w:val="0"/>
                </w:pPr>
                <w:r>
                  <w:t>liscl@163.com</w:t>
                </w:r>
              </w:p>
            </w:tc>
            <w:tc>
              <w:tcPr>
                <w:tcW w:w="2965" w:type="dxa"/>
                <w:tcBorders>
                  <w:top w:val="single" w:color="auto" w:sz="4" w:space="0"/>
                  <w:left w:val="single" w:color="auto" w:sz="4" w:space="0"/>
                  <w:bottom w:val="single" w:color="auto" w:sz="4" w:space="0"/>
                </w:tcBorders>
              </w:tcPr>
              <w:p>
                <w:pPr>
                  <w:kinsoku w:val="0"/>
                  <w:overflowPunct w:val="0"/>
                  <w:autoSpaceDE w:val="0"/>
                  <w:autoSpaceDN w:val="0"/>
                  <w:snapToGrid w:val="0"/>
                </w:pPr>
                <w:r>
                  <w:t>liscl@163.com</w:t>
                </w:r>
              </w:p>
            </w:tc>
          </w:tr>
        </w:tbl>
        <w:p>
          <w:pPr>
            <w:pStyle w:val="76"/>
          </w:pPr>
        </w:p>
      </w:sdtContent>
    </w:sdt>
    <w:p>
      <w:pPr>
        <w:pStyle w:val="3"/>
        <w:numPr>
          <w:ilvl w:val="1"/>
          <w:numId w:val="3"/>
        </w:numPr>
      </w:pPr>
      <w:r>
        <w:t>基本情况变更简介</w:t>
      </w:r>
    </w:p>
    <w:sdt>
      <w:sdtPr>
        <w:rPr>
          <w:szCs w:val="24"/>
        </w:rPr>
        <w:alias w:val="模块:基本情况变更简介"/>
        <w:tag w:val="_GBC_5882b65ee1af4c18a1a62f56241999ce"/>
        <w:id w:val="25153517"/>
        <w:lock w:val="sdtLocked"/>
      </w:sdtPr>
      <w:sdtEndPr>
        <w:rPr>
          <w:szCs w:val="24"/>
        </w:rPr>
      </w:sdtEndPr>
      <w:sdtContent>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rPr>
                  <w:szCs w:val="24"/>
                </w:rPr>
                <w:tag w:val="_PLD_85d89a4aa7974727a1dc32c53cb7ca26"/>
                <w:id w:val="25153510"/>
                <w:lock w:val="sdtLocked"/>
              </w:sdtPr>
              <w:sdtEndPr>
                <w:rPr>
                  <w:szCs w:val="21"/>
                </w:rPr>
              </w:sdtEnd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公司注册地址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b649c2759a8e4b838b8bf28faba6591a"/>
                <w:id w:val="25153511"/>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公司注册地址的邮政编码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afb934b530604b0a8d7df0bf16875d49"/>
                <w:id w:val="25153512"/>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公司办公地址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0b92629df2db4d92969852a0afee64f9"/>
                <w:id w:val="25153513"/>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公司办公地址的邮政编码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0d67a69c3a1340c3a07767557b490fe5"/>
                <w:id w:val="25153514"/>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公司网址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http://www.liusteel.com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f90a226f402046c6b34fcce5cb28265b"/>
                <w:id w:val="25153515"/>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电子信箱</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liscl@163.com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80e327206de42a7a09f77e6debfb7d1"/>
                <w:id w:val="25153516"/>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报告期内变更情况查询索引</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snapToGrid w:val="0"/>
                </w:pPr>
                <w:r>
                  <w:t>未变更</w:t>
                </w:r>
              </w:p>
            </w:tc>
          </w:tr>
        </w:tbl>
        <w:p>
          <w:pPr>
            <w:pStyle w:val="76"/>
          </w:pPr>
        </w:p>
      </w:sdtContent>
    </w:sdt>
    <w:sdt>
      <w:sdtPr>
        <w:rPr>
          <w:rFonts w:ascii="Calibri" w:hAnsi="Calibri"/>
          <w:b w:val="0"/>
          <w:bCs w:val="0"/>
          <w:szCs w:val="22"/>
        </w:rPr>
        <w:alias w:val="模块:信息披露及备置地点变更情况简介"/>
        <w:tag w:val="_GBC_20a39c6141734cc19616660ebf1a0dfa"/>
        <w:id w:val="25153522"/>
        <w:lock w:val="sdtLocked"/>
        <w:placeholder>
          <w:docPart w:val="GBC22222222222222222222222222222"/>
        </w:placeholder>
      </w:sdtPr>
      <w:sdtEndPr>
        <w:rPr>
          <w:rFonts w:ascii="宋体" w:hAnsi="宋体"/>
          <w:b w:val="0"/>
          <w:bCs w:val="0"/>
          <w:szCs w:val="21"/>
        </w:rPr>
      </w:sdtEndPr>
      <w:sdtContent>
        <w:p>
          <w:pPr>
            <w:pStyle w:val="3"/>
            <w:numPr>
              <w:ilvl w:val="1"/>
              <w:numId w:val="3"/>
            </w:numPr>
          </w:pPr>
          <w:r>
            <w:t>信息披露及备置地点变更情况简介</w:t>
          </w:r>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4283"/>
            <w:gridCol w:w="4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5a9e1277ac2b48eb8d7aa1b69c532d31"/>
                <w:id w:val="25153518"/>
                <w:lock w:val="sdtLocked"/>
              </w:sdtPr>
              <w:sdtContent>
                <w:tc>
                  <w:tcPr>
                    <w:tcW w:w="428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公司选定的信息披露报纸名称</w:t>
                    </w:r>
                  </w:p>
                </w:tc>
              </w:sdtContent>
            </w:sdt>
            <w:tc>
              <w:tcPr>
                <w:tcW w:w="4610" w:type="dxa"/>
                <w:tcBorders>
                  <w:top w:val="single" w:color="auto" w:sz="4" w:space="0"/>
                  <w:left w:val="single" w:color="auto" w:sz="4" w:space="0"/>
                  <w:bottom w:val="single" w:color="auto" w:sz="4" w:space="0"/>
                </w:tcBorders>
              </w:tcPr>
              <w:p>
                <w:pPr>
                  <w:kinsoku w:val="0"/>
                  <w:overflowPunct w:val="0"/>
                  <w:autoSpaceDE w:val="0"/>
                  <w:autoSpaceDN w:val="0"/>
                  <w:snapToGrid w:val="0"/>
                </w:pPr>
                <w:r>
                  <w:t>《中国证券报》、《上海证券报》、《证券日报》、《证券时报》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4ad3e071c96488fa36dcc1913587c39"/>
                <w:id w:val="25153519"/>
                <w:lock w:val="sdtLocked"/>
              </w:sdtPr>
              <w:sdtContent>
                <w:tc>
                  <w:tcPr>
                    <w:tcW w:w="428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登载半年度报告的中国证监会指定网站的网址</w:t>
                    </w:r>
                  </w:p>
                </w:tc>
              </w:sdtContent>
            </w:sdt>
            <w:tc>
              <w:tcPr>
                <w:tcW w:w="4610" w:type="dxa"/>
                <w:tcBorders>
                  <w:top w:val="single" w:color="auto" w:sz="4" w:space="0"/>
                  <w:left w:val="single" w:color="auto" w:sz="4" w:space="0"/>
                  <w:bottom w:val="single" w:color="auto" w:sz="4" w:space="0"/>
                </w:tcBorders>
              </w:tcPr>
              <w:p>
                <w:pPr>
                  <w:kinsoku w:val="0"/>
                  <w:overflowPunct w:val="0"/>
                  <w:autoSpaceDE w:val="0"/>
                  <w:autoSpaceDN w:val="0"/>
                  <w:snapToGrid w:val="0"/>
                </w:pPr>
                <w:r>
                  <w:t>http://www.sse.com.cn/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533f230e5c504d15b6024014067b6306"/>
                <w:id w:val="25153520"/>
                <w:lock w:val="sdtLocked"/>
              </w:sdtPr>
              <w:sdtContent>
                <w:tc>
                  <w:tcPr>
                    <w:tcW w:w="428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公司半年度报告备置地点</w:t>
                    </w:r>
                  </w:p>
                </w:tc>
              </w:sdtContent>
            </w:sdt>
            <w:tc>
              <w:tcPr>
                <w:tcW w:w="4610" w:type="dxa"/>
                <w:tcBorders>
                  <w:top w:val="single" w:color="auto" w:sz="4" w:space="0"/>
                  <w:left w:val="single" w:color="auto" w:sz="4" w:space="0"/>
                  <w:bottom w:val="single" w:color="auto" w:sz="4" w:space="0"/>
                </w:tcBorders>
              </w:tcPr>
              <w:p>
                <w:pPr>
                  <w:kinsoku w:val="0"/>
                  <w:overflowPunct w:val="0"/>
                  <w:autoSpaceDE w:val="0"/>
                  <w:autoSpaceDN w:val="0"/>
                  <w:snapToGrid w:val="0"/>
                </w:pPr>
                <w:r>
                  <w:t>广西柳州市北雀路117号柳州钢铁股份有限公司证券部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1b3b22b33f543709c7346090ee03414"/>
                <w:id w:val="25153521"/>
                <w:lock w:val="sdtLocked"/>
              </w:sdtPr>
              <w:sdtContent>
                <w:tc>
                  <w:tcPr>
                    <w:tcW w:w="428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报告期内变更情况查询索引</w:t>
                    </w:r>
                  </w:p>
                </w:tc>
              </w:sdtContent>
            </w:sdt>
            <w:tc>
              <w:tcPr>
                <w:tcW w:w="4610" w:type="dxa"/>
                <w:tcBorders>
                  <w:top w:val="single" w:color="auto" w:sz="4" w:space="0"/>
                  <w:left w:val="single" w:color="auto" w:sz="4" w:space="0"/>
                  <w:bottom w:val="single" w:color="auto" w:sz="4" w:space="0"/>
                </w:tcBorders>
              </w:tcPr>
              <w:p>
                <w:pPr>
                  <w:kinsoku w:val="0"/>
                  <w:overflowPunct w:val="0"/>
                  <w:autoSpaceDE w:val="0"/>
                  <w:autoSpaceDN w:val="0"/>
                  <w:snapToGrid w:val="0"/>
                </w:pPr>
                <w:r>
                  <w:t>未变更</w:t>
                </w:r>
              </w:p>
            </w:tc>
          </w:tr>
        </w:tbl>
        <w:p>
          <w:pPr>
            <w:pStyle w:val="76"/>
          </w:pPr>
        </w:p>
      </w:sdtContent>
    </w:sdt>
    <w:p>
      <w:pPr>
        <w:kinsoku w:val="0"/>
        <w:overflowPunct w:val="0"/>
        <w:autoSpaceDE w:val="0"/>
        <w:autoSpaceDN w:val="0"/>
        <w:snapToGrid w:val="0"/>
      </w:pPr>
    </w:p>
    <w:sdt>
      <w:sdtPr>
        <w:rPr>
          <w:rFonts w:hint="eastAsia" w:ascii="Calibri" w:hAnsi="Calibri"/>
          <w:b w:val="0"/>
          <w:bCs w:val="0"/>
          <w:szCs w:val="22"/>
        </w:rPr>
        <w:alias w:val="模块:公司股票简况"/>
        <w:tag w:val="_GBC_f73e31215837403db78d7a2ed15723c6"/>
        <w:id w:val="25153529"/>
        <w:lock w:val="sdtLocked"/>
        <w:placeholder>
          <w:docPart w:val="GBC22222222222222222222222222222"/>
        </w:placeholder>
      </w:sdtPr>
      <w:sdtEndPr>
        <w:rPr>
          <w:rFonts w:hint="eastAsia" w:ascii="宋体" w:hAnsi="宋体"/>
          <w:b w:val="0"/>
          <w:bCs w:val="0"/>
          <w:color w:val="0070C0"/>
          <w:szCs w:val="21"/>
        </w:rPr>
      </w:sdtEndPr>
      <w:sdtContent>
        <w:p>
          <w:pPr>
            <w:pStyle w:val="3"/>
            <w:numPr>
              <w:ilvl w:val="1"/>
              <w:numId w:val="3"/>
            </w:numPr>
          </w:pPr>
          <w:bookmarkStart w:id="8" w:name="_Toc342565885"/>
          <w:bookmarkStart w:id="9" w:name="_Toc342051045"/>
          <w:r>
            <w:rPr>
              <w:rFonts w:hint="eastAsia"/>
            </w:rPr>
            <w:t>公司股票简况</w:t>
          </w:r>
          <w:bookmarkEnd w:id="8"/>
          <w:bookmarkEnd w:id="9"/>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1778"/>
            <w:gridCol w:w="1778"/>
            <w:gridCol w:w="1779"/>
            <w:gridCol w:w="1779"/>
            <w:gridCol w:w="1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136d907086394f5eaee0ec7d22ac5510"/>
                <w:id w:val="25153523"/>
                <w:lock w:val="sdtLocked"/>
              </w:sdtPr>
              <w:sdtContent>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jc w:val="center"/>
                    </w:pPr>
                    <w:r>
                      <w:rPr>
                        <w:rFonts w:hint="eastAsia"/>
                      </w:rPr>
                      <w:t>股票种类</w:t>
                    </w:r>
                  </w:p>
                </w:tc>
              </w:sdtContent>
            </w:sdt>
            <w:sdt>
              <w:sdtPr>
                <w:tag w:val="_PLD_6a843bcbb5a24c0aa6b5fa899c00d11d"/>
                <w:id w:val="25153524"/>
                <w:lock w:val="sdtLocked"/>
              </w:sdtPr>
              <w:sdtContent>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jc w:val="center"/>
                    </w:pPr>
                    <w:r>
                      <w:rPr>
                        <w:rFonts w:hint="eastAsia"/>
                      </w:rPr>
                      <w:t>股票上市交易所</w:t>
                    </w:r>
                  </w:p>
                </w:tc>
              </w:sdtContent>
            </w:sdt>
            <w:sdt>
              <w:sdtPr>
                <w:tag w:val="_PLD_c012a58bb3cc4bbd9a7de1f52bd17553"/>
                <w:id w:val="25153525"/>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jc w:val="center"/>
                    </w:pPr>
                    <w:r>
                      <w:rPr>
                        <w:rFonts w:hint="eastAsia"/>
                      </w:rPr>
                      <w:t>股票简称</w:t>
                    </w:r>
                  </w:p>
                </w:tc>
              </w:sdtContent>
            </w:sdt>
            <w:sdt>
              <w:sdtPr>
                <w:tag w:val="_PLD_9fa1e8781b094b29b21027138e9f63e8"/>
                <w:id w:val="25153526"/>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jc w:val="center"/>
                    </w:pPr>
                    <w:r>
                      <w:rPr>
                        <w:rFonts w:hint="eastAsia"/>
                      </w:rPr>
                      <w:t>股票代码</w:t>
                    </w:r>
                  </w:p>
                </w:tc>
              </w:sdtContent>
            </w:sdt>
            <w:sdt>
              <w:sdtPr>
                <w:tag w:val="_PLD_38293dc771ef4460bd5252827867d07d"/>
                <w:id w:val="25153527"/>
                <w:lock w:val="sdtLocked"/>
              </w:sdtPr>
              <w:sdtContent>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snapToGrid w:val="0"/>
                      <w:jc w:val="center"/>
                    </w:pPr>
                    <w:r>
                      <w:rPr>
                        <w:rFonts w:hint="eastAsia"/>
                      </w:rPr>
                      <w:t>变更前股票简称</w:t>
                    </w:r>
                  </w:p>
                </w:tc>
              </w:sdtContent>
            </w:sdt>
          </w:tr>
          <w:sdt>
            <w:sdtPr>
              <w:rPr>
                <w:rFonts w:hint="eastAsia"/>
              </w:rPr>
              <w:alias w:val="公司其他股票简况"/>
              <w:tag w:val="_GBC_4e064b55e0734b1d9be1e41379a353e2"/>
              <w:id w:val="2515352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A股</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上海证券交易所</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柳钢股份</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snapToGrid w:val="0"/>
                    </w:pPr>
                    <w:r>
                      <w:t>601003</w:t>
                    </w:r>
                  </w:p>
                </w:tc>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snapToGrid w:val="0"/>
                    </w:pPr>
                    <w:r>
                      <w:rPr>
                        <w:rFonts w:hint="eastAsia"/>
                      </w:rPr>
                      <w:t>不适用</w:t>
                    </w:r>
                  </w:p>
                </w:tc>
              </w:tr>
            </w:sdtContent>
          </w:sdt>
        </w:tbl>
        <w:p>
          <w:pPr>
            <w:pStyle w:val="76"/>
          </w:pPr>
        </w:p>
        <w:p>
          <w:pPr>
            <w:kinsoku w:val="0"/>
            <w:overflowPunct w:val="0"/>
            <w:autoSpaceDE w:val="0"/>
            <w:autoSpaceDN w:val="0"/>
            <w:snapToGrid w:val="0"/>
            <w:rPr>
              <w:color w:val="0070C0"/>
            </w:rPr>
          </w:pPr>
        </w:p>
      </w:sdtContent>
    </w:sdt>
    <w:sdt>
      <w:sdtPr>
        <w:rPr>
          <w:rFonts w:ascii="Calibri" w:hAnsi="Calibri"/>
          <w:b w:val="0"/>
          <w:bCs w:val="0"/>
          <w:szCs w:val="22"/>
        </w:rPr>
        <w:alias w:val="模块:其他有关资料"/>
        <w:tag w:val="_GBC_cd186ef4acaf4e28b71fed998e691ebd"/>
        <w:id w:val="25153531"/>
        <w:lock w:val="sdtLocked"/>
        <w:placeholder>
          <w:docPart w:val="GBC22222222222222222222222222222"/>
        </w:placeholder>
      </w:sdtPr>
      <w:sdtEndPr>
        <w:rPr>
          <w:rFonts w:hint="eastAsia" w:ascii="宋体" w:hAnsi="宋体"/>
          <w:b w:val="0"/>
          <w:bCs w:val="0"/>
          <w:szCs w:val="21"/>
        </w:rPr>
      </w:sdtEndPr>
      <w:sdtContent>
        <w:p>
          <w:pPr>
            <w:pStyle w:val="3"/>
            <w:numPr>
              <w:ilvl w:val="1"/>
              <w:numId w:val="3"/>
            </w:numPr>
          </w:pPr>
          <w:r>
            <w:t>其他有关资料</w:t>
          </w:r>
        </w:p>
        <w:sdt>
          <w:sdtPr>
            <w:alias w:val="是否适用：其他有关资料[双击切换]"/>
            <w:tag w:val="_GBC_78c3cc115c0d4dd3bf5e7c57142e5e68"/>
            <w:id w:val="2515353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bdr w:val="single" w:color="auto" w:sz="4" w:space="0"/>
        </w:rPr>
      </w:pPr>
    </w:p>
    <w:p>
      <w:pPr>
        <w:pStyle w:val="78"/>
        <w:numPr>
          <w:ilvl w:val="1"/>
          <w:numId w:val="3"/>
        </w:numPr>
      </w:pPr>
      <w:bookmarkStart w:id="10" w:name="_Toc342565889"/>
      <w:bookmarkStart w:id="11" w:name="_Toc342056397"/>
      <w:r>
        <w:rPr>
          <w:rFonts w:hint="eastAsia"/>
        </w:rPr>
        <w:t>公司主要会计数据和财务指标</w:t>
      </w:r>
      <w:bookmarkEnd w:id="10"/>
      <w:bookmarkEnd w:id="11"/>
    </w:p>
    <w:p>
      <w:pPr>
        <w:pStyle w:val="79"/>
        <w:numPr>
          <w:ilvl w:val="1"/>
          <w:numId w:val="4"/>
        </w:numPr>
      </w:pPr>
      <w:r>
        <w:rPr>
          <w:rFonts w:hint="eastAsia"/>
        </w:rPr>
        <w:t>主要会计数据</w:t>
      </w:r>
    </w:p>
    <w:p>
      <w:pPr>
        <w:pStyle w:val="76"/>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51535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5153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sdt>
      <w:sdtPr>
        <w:alias w:val="选项模块:主要会计数据(无追溯)"/>
        <w:tag w:val="_GBC_aea1fefe2cc54d88a8a870982a41d97a"/>
        <w:id w:val="25153547"/>
        <w:lock w:val="sdtLocked"/>
      </w:sdtPr>
      <w:sdtContent>
        <w:p>
          <w:pPr>
            <w:pStyle w:val="76"/>
          </w:pPr>
        </w:p>
        <w:tbl>
          <w:tblPr>
            <w:tblStyle w:val="7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3"/>
            <w:gridCol w:w="2001"/>
            <w:gridCol w:w="200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sdt>
              <w:sdtPr>
                <w:rPr>
                  <w:rFonts w:hint="eastAsia" w:ascii="Times New Roman" w:hAnsi="Times New Roman"/>
                  <w:szCs w:val="21"/>
                </w:rPr>
                <w:tag w:val="_PLD_e63d02b963714237aa4678b1878c888d"/>
                <w:id w:val="25153534"/>
                <w:lock w:val="sdtLocked"/>
              </w:sdtPr>
              <w:sdtEndPr>
                <w:rPr>
                  <w:rFonts w:hint="default" w:ascii="Times New Roman" w:hAnsi="Times New Roman"/>
                  <w:szCs w:val="20"/>
                </w:rPr>
              </w:sdtEndPr>
              <w:sdtContent>
                <w:tc>
                  <w:tcPr>
                    <w:tcW w:w="3483" w:type="dxa"/>
                    <w:vAlign w:val="center"/>
                  </w:tcPr>
                  <w:p>
                    <w:pPr>
                      <w:pStyle w:val="76"/>
                      <w:widowControl w:val="0"/>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25153535"/>
                <w:lock w:val="sdtLocked"/>
              </w:sdtPr>
              <w:sdtContent>
                <w:tc>
                  <w:tcPr>
                    <w:tcW w:w="2001" w:type="dxa"/>
                    <w:vAlign w:val="center"/>
                  </w:tcPr>
                  <w:p>
                    <w:pPr>
                      <w:pStyle w:val="76"/>
                      <w:widowControl w:val="0"/>
                      <w:kinsoku w:val="0"/>
                      <w:overflowPunct w:val="0"/>
                      <w:autoSpaceDE w:val="0"/>
                      <w:autoSpaceDN w:val="0"/>
                      <w:adjustRightInd w:val="0"/>
                      <w:snapToGrid w:val="0"/>
                      <w:jc w:val="center"/>
                    </w:pPr>
                    <w:r>
                      <w:rPr>
                        <w:rFonts w:hint="eastAsia"/>
                      </w:rPr>
                      <w:t>本</w:t>
                    </w:r>
                    <w:r>
                      <w:t>报告期</w:t>
                    </w:r>
                  </w:p>
                  <w:p>
                    <w:pPr>
                      <w:pStyle w:val="76"/>
                      <w:widowControl w:val="0"/>
                      <w:kinsoku w:val="0"/>
                      <w:overflowPunct w:val="0"/>
                      <w:autoSpaceDE w:val="0"/>
                      <w:autoSpaceDN w:val="0"/>
                      <w:adjustRightInd w:val="0"/>
                      <w:snapToGrid w:val="0"/>
                      <w:jc w:val="center"/>
                      <w:rPr>
                        <w:szCs w:val="21"/>
                      </w:rPr>
                    </w:pPr>
                    <w:r>
                      <w:t>（1－6月）</w:t>
                    </w:r>
                  </w:p>
                </w:tc>
              </w:sdtContent>
            </w:sdt>
            <w:sdt>
              <w:sdtPr>
                <w:tag w:val="_PLD_0f32665f64034720b1ecd674058f4d8b"/>
                <w:id w:val="25153536"/>
                <w:lock w:val="sdtLocked"/>
              </w:sdtPr>
              <w:sdtContent>
                <w:tc>
                  <w:tcPr>
                    <w:tcW w:w="2001" w:type="dxa"/>
                    <w:vAlign w:val="center"/>
                  </w:tcPr>
                  <w:p>
                    <w:pPr>
                      <w:pStyle w:val="76"/>
                      <w:widowControl w:val="0"/>
                      <w:kinsoku w:val="0"/>
                      <w:overflowPunct w:val="0"/>
                      <w:autoSpaceDE w:val="0"/>
                      <w:autoSpaceDN w:val="0"/>
                      <w:adjustRightInd w:val="0"/>
                      <w:snapToGrid w:val="0"/>
                      <w:jc w:val="center"/>
                      <w:rPr>
                        <w:szCs w:val="21"/>
                      </w:rPr>
                    </w:pPr>
                    <w:r>
                      <w:t>上年同期</w:t>
                    </w:r>
                  </w:p>
                </w:tc>
              </w:sdtContent>
            </w:sdt>
            <w:sdt>
              <w:sdtPr>
                <w:tag w:val="_PLD_e634aa67fe8c44038b152224d8a245d6"/>
                <w:id w:val="25153537"/>
                <w:lock w:val="sdtLocked"/>
              </w:sdtPr>
              <w:sdtContent>
                <w:tc>
                  <w:tcPr>
                    <w:tcW w:w="1564" w:type="dxa"/>
                    <w:vAlign w:val="center"/>
                  </w:tcPr>
                  <w:p>
                    <w:pPr>
                      <w:pStyle w:val="76"/>
                      <w:widowControl w:val="0"/>
                      <w:kinsoku w:val="0"/>
                      <w:overflowPunct w:val="0"/>
                      <w:autoSpaceDE w:val="0"/>
                      <w:autoSpaceDN w:val="0"/>
                      <w:adjustRightInd w:val="0"/>
                      <w:snapToGrid w:val="0"/>
                      <w:jc w:val="center"/>
                      <w:rPr>
                        <w:szCs w:val="21"/>
                      </w:rPr>
                    </w:pPr>
                    <w:r>
                      <w:t>本报告期比上年同期增减</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601d7d8438f74f1c9abca1ce60a4f163"/>
                <w:id w:val="25153538"/>
                <w:lock w:val="sdtLocked"/>
              </w:sdtPr>
              <w:sdtContent>
                <w:tc>
                  <w:tcPr>
                    <w:tcW w:w="3483" w:type="dxa"/>
                  </w:tcPr>
                  <w:p>
                    <w:pPr>
                      <w:pStyle w:val="76"/>
                      <w:widowControl w:val="0"/>
                      <w:kinsoku w:val="0"/>
                      <w:overflowPunct w:val="0"/>
                      <w:autoSpaceDE w:val="0"/>
                      <w:autoSpaceDN w:val="0"/>
                      <w:adjustRightInd w:val="0"/>
                      <w:snapToGrid w:val="0"/>
                      <w:jc w:val="both"/>
                      <w:rPr>
                        <w:szCs w:val="21"/>
                      </w:rPr>
                    </w:pPr>
                    <w:r>
                      <w:rPr>
                        <w:rFonts w:hint="eastAsia"/>
                        <w:szCs w:val="21"/>
                      </w:rPr>
                      <w:t>营业收入</w:t>
                    </w:r>
                  </w:p>
                </w:tc>
              </w:sdtContent>
            </w:sdt>
            <w:tc>
              <w:tcPr>
                <w:tcW w:w="2001" w:type="dxa"/>
              </w:tcPr>
              <w:p>
                <w:pPr>
                  <w:pStyle w:val="76"/>
                  <w:widowControl w:val="0"/>
                  <w:kinsoku w:val="0"/>
                  <w:overflowPunct w:val="0"/>
                  <w:autoSpaceDE w:val="0"/>
                  <w:autoSpaceDN w:val="0"/>
                  <w:adjustRightInd w:val="0"/>
                  <w:snapToGrid w:val="0"/>
                  <w:jc w:val="right"/>
                  <w:rPr>
                    <w:szCs w:val="21"/>
                  </w:rPr>
                </w:pPr>
                <w:r>
                  <w:t>22,583,288,487.07</w:t>
                </w:r>
              </w:p>
            </w:tc>
            <w:tc>
              <w:tcPr>
                <w:tcW w:w="2001" w:type="dxa"/>
              </w:tcPr>
              <w:p>
                <w:pPr>
                  <w:pStyle w:val="76"/>
                  <w:widowControl w:val="0"/>
                  <w:kinsoku w:val="0"/>
                  <w:overflowPunct w:val="0"/>
                  <w:autoSpaceDE w:val="0"/>
                  <w:autoSpaceDN w:val="0"/>
                  <w:adjustRightInd w:val="0"/>
                  <w:snapToGrid w:val="0"/>
                  <w:jc w:val="right"/>
                  <w:rPr>
                    <w:bCs/>
                    <w:szCs w:val="21"/>
                  </w:rPr>
                </w:pPr>
                <w:r>
                  <w:t>19,094,778,928.36</w:t>
                </w:r>
              </w:p>
            </w:tc>
            <w:tc>
              <w:tcPr>
                <w:tcW w:w="1564" w:type="dxa"/>
              </w:tcPr>
              <w:p>
                <w:pPr>
                  <w:pStyle w:val="76"/>
                  <w:widowControl w:val="0"/>
                  <w:kinsoku w:val="0"/>
                  <w:overflowPunct w:val="0"/>
                  <w:autoSpaceDE w:val="0"/>
                  <w:autoSpaceDN w:val="0"/>
                  <w:adjustRightInd w:val="0"/>
                  <w:snapToGrid w:val="0"/>
                  <w:jc w:val="right"/>
                  <w:rPr>
                    <w:szCs w:val="21"/>
                  </w:rPr>
                </w:pPr>
                <w: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825ec6c60fc481f877063c3cecfffca"/>
                <w:id w:val="25153539"/>
                <w:lock w:val="sdtLocked"/>
              </w:sdtPr>
              <w:sdtContent>
                <w:tc>
                  <w:tcPr>
                    <w:tcW w:w="3483" w:type="dxa"/>
                  </w:tcPr>
                  <w:p>
                    <w:pPr>
                      <w:pStyle w:val="76"/>
                      <w:widowControl w:val="0"/>
                      <w:kinsoku w:val="0"/>
                      <w:overflowPunct w:val="0"/>
                      <w:autoSpaceDE w:val="0"/>
                      <w:autoSpaceDN w:val="0"/>
                      <w:adjustRightInd w:val="0"/>
                      <w:snapToGrid w:val="0"/>
                      <w:jc w:val="both"/>
                      <w:rPr>
                        <w:szCs w:val="21"/>
                      </w:rPr>
                    </w:pPr>
                    <w:r>
                      <w:rPr>
                        <w:rFonts w:hint="eastAsia"/>
                        <w:szCs w:val="21"/>
                      </w:rPr>
                      <w:t>归属于上市公司股东的净利润</w:t>
                    </w:r>
                  </w:p>
                </w:tc>
              </w:sdtContent>
            </w:sdt>
            <w:tc>
              <w:tcPr>
                <w:tcW w:w="2001" w:type="dxa"/>
              </w:tcPr>
              <w:p>
                <w:pPr>
                  <w:pStyle w:val="76"/>
                  <w:widowControl w:val="0"/>
                  <w:kinsoku w:val="0"/>
                  <w:overflowPunct w:val="0"/>
                  <w:autoSpaceDE w:val="0"/>
                  <w:autoSpaceDN w:val="0"/>
                  <w:adjustRightInd w:val="0"/>
                  <w:snapToGrid w:val="0"/>
                  <w:jc w:val="right"/>
                  <w:rPr>
                    <w:szCs w:val="21"/>
                  </w:rPr>
                </w:pPr>
                <w:r>
                  <w:t>2,040,573,358.16</w:t>
                </w:r>
              </w:p>
            </w:tc>
            <w:tc>
              <w:tcPr>
                <w:tcW w:w="2001" w:type="dxa"/>
              </w:tcPr>
              <w:p>
                <w:pPr>
                  <w:pStyle w:val="76"/>
                  <w:widowControl w:val="0"/>
                  <w:kinsoku w:val="0"/>
                  <w:overflowPunct w:val="0"/>
                  <w:autoSpaceDE w:val="0"/>
                  <w:autoSpaceDN w:val="0"/>
                  <w:adjustRightInd w:val="0"/>
                  <w:snapToGrid w:val="0"/>
                  <w:jc w:val="right"/>
                  <w:rPr>
                    <w:bCs/>
                    <w:szCs w:val="21"/>
                  </w:rPr>
                </w:pPr>
                <w:r>
                  <w:t>395,609,973.68</w:t>
                </w:r>
              </w:p>
            </w:tc>
            <w:tc>
              <w:tcPr>
                <w:tcW w:w="1564" w:type="dxa"/>
              </w:tcPr>
              <w:p>
                <w:pPr>
                  <w:pStyle w:val="76"/>
                  <w:widowControl w:val="0"/>
                  <w:kinsoku w:val="0"/>
                  <w:overflowPunct w:val="0"/>
                  <w:autoSpaceDE w:val="0"/>
                  <w:autoSpaceDN w:val="0"/>
                  <w:adjustRightInd w:val="0"/>
                  <w:snapToGrid w:val="0"/>
                  <w:jc w:val="right"/>
                  <w:rPr>
                    <w:szCs w:val="21"/>
                  </w:rPr>
                </w:pPr>
                <w:r>
                  <w:t>415.80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59cc08add024388b79135816e85f0a1"/>
                <w:id w:val="25153540"/>
                <w:lock w:val="sdtLocked"/>
              </w:sdtPr>
              <w:sdtContent>
                <w:tc>
                  <w:tcPr>
                    <w:tcW w:w="3483" w:type="dxa"/>
                  </w:tcPr>
                  <w:p>
                    <w:pPr>
                      <w:pStyle w:val="76"/>
                      <w:widowControl w:val="0"/>
                      <w:kinsoku w:val="0"/>
                      <w:overflowPunct w:val="0"/>
                      <w:autoSpaceDE w:val="0"/>
                      <w:autoSpaceDN w:val="0"/>
                      <w:adjustRightInd w:val="0"/>
                      <w:snapToGrid w:val="0"/>
                      <w:jc w:val="both"/>
                      <w:rPr>
                        <w:szCs w:val="21"/>
                      </w:rPr>
                    </w:pPr>
                    <w:r>
                      <w:rPr>
                        <w:rFonts w:hint="eastAsia"/>
                        <w:szCs w:val="21"/>
                      </w:rPr>
                      <w:t>归属于上市公司股东的扣除非经常性损益的净利润</w:t>
                    </w:r>
                  </w:p>
                </w:tc>
              </w:sdtContent>
            </w:sdt>
            <w:tc>
              <w:tcPr>
                <w:tcW w:w="2001" w:type="dxa"/>
              </w:tcPr>
              <w:p>
                <w:pPr>
                  <w:pStyle w:val="76"/>
                  <w:widowControl w:val="0"/>
                  <w:kinsoku w:val="0"/>
                  <w:overflowPunct w:val="0"/>
                  <w:autoSpaceDE w:val="0"/>
                  <w:autoSpaceDN w:val="0"/>
                  <w:adjustRightInd w:val="0"/>
                  <w:snapToGrid w:val="0"/>
                  <w:jc w:val="right"/>
                  <w:rPr>
                    <w:szCs w:val="21"/>
                  </w:rPr>
                </w:pPr>
                <w:r>
                  <w:t>2,029,489,542.63</w:t>
                </w:r>
              </w:p>
            </w:tc>
            <w:tc>
              <w:tcPr>
                <w:tcW w:w="2001" w:type="dxa"/>
              </w:tcPr>
              <w:p>
                <w:pPr>
                  <w:pStyle w:val="76"/>
                  <w:widowControl w:val="0"/>
                  <w:kinsoku w:val="0"/>
                  <w:overflowPunct w:val="0"/>
                  <w:autoSpaceDE w:val="0"/>
                  <w:autoSpaceDN w:val="0"/>
                  <w:adjustRightInd w:val="0"/>
                  <w:snapToGrid w:val="0"/>
                  <w:jc w:val="right"/>
                  <w:rPr>
                    <w:bCs/>
                    <w:szCs w:val="21"/>
                  </w:rPr>
                </w:pPr>
                <w:r>
                  <w:t>387,152,851.86</w:t>
                </w:r>
              </w:p>
            </w:tc>
            <w:tc>
              <w:tcPr>
                <w:tcW w:w="1564" w:type="dxa"/>
              </w:tcPr>
              <w:p>
                <w:pPr>
                  <w:pStyle w:val="76"/>
                  <w:widowControl w:val="0"/>
                  <w:kinsoku w:val="0"/>
                  <w:overflowPunct w:val="0"/>
                  <w:autoSpaceDE w:val="0"/>
                  <w:autoSpaceDN w:val="0"/>
                  <w:adjustRightInd w:val="0"/>
                  <w:snapToGrid w:val="0"/>
                  <w:jc w:val="right"/>
                  <w:rPr>
                    <w:szCs w:val="21"/>
                  </w:rPr>
                </w:pPr>
                <w:r>
                  <w:t>424.21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895da6708d8042d69e93b2530ead8964"/>
                <w:id w:val="25153541"/>
                <w:lock w:val="sdtLocked"/>
              </w:sdtPr>
              <w:sdtContent>
                <w:tc>
                  <w:tcPr>
                    <w:tcW w:w="3483" w:type="dxa"/>
                  </w:tcPr>
                  <w:p>
                    <w:pPr>
                      <w:pStyle w:val="76"/>
                      <w:widowControl w:val="0"/>
                      <w:kinsoku w:val="0"/>
                      <w:overflowPunct w:val="0"/>
                      <w:autoSpaceDE w:val="0"/>
                      <w:autoSpaceDN w:val="0"/>
                      <w:adjustRightInd w:val="0"/>
                      <w:snapToGrid w:val="0"/>
                      <w:jc w:val="both"/>
                      <w:rPr>
                        <w:szCs w:val="21"/>
                        <w:highlight w:val="magenta"/>
                      </w:rPr>
                    </w:pPr>
                    <w:r>
                      <w:rPr>
                        <w:rFonts w:hint="eastAsia"/>
                        <w:szCs w:val="21"/>
                      </w:rPr>
                      <w:t>经营活动产生的现金流量净额</w:t>
                    </w:r>
                  </w:p>
                </w:tc>
              </w:sdtContent>
            </w:sdt>
            <w:tc>
              <w:tcPr>
                <w:tcW w:w="2001" w:type="dxa"/>
              </w:tcPr>
              <w:p>
                <w:pPr>
                  <w:pStyle w:val="76"/>
                  <w:widowControl w:val="0"/>
                  <w:kinsoku w:val="0"/>
                  <w:overflowPunct w:val="0"/>
                  <w:autoSpaceDE w:val="0"/>
                  <w:autoSpaceDN w:val="0"/>
                  <w:adjustRightInd w:val="0"/>
                  <w:snapToGrid w:val="0"/>
                  <w:jc w:val="right"/>
                  <w:rPr>
                    <w:szCs w:val="21"/>
                  </w:rPr>
                </w:pPr>
                <w:r>
                  <w:t>146,084,572.71</w:t>
                </w:r>
              </w:p>
            </w:tc>
            <w:tc>
              <w:tcPr>
                <w:tcW w:w="2001" w:type="dxa"/>
              </w:tcPr>
              <w:p>
                <w:pPr>
                  <w:pStyle w:val="76"/>
                  <w:widowControl w:val="0"/>
                  <w:kinsoku w:val="0"/>
                  <w:overflowPunct w:val="0"/>
                  <w:autoSpaceDE w:val="0"/>
                  <w:autoSpaceDN w:val="0"/>
                  <w:adjustRightInd w:val="0"/>
                  <w:snapToGrid w:val="0"/>
                  <w:jc w:val="right"/>
                  <w:rPr>
                    <w:szCs w:val="21"/>
                  </w:rPr>
                </w:pPr>
                <w:r>
                  <w:t>1,983,553,707.52</w:t>
                </w:r>
              </w:p>
            </w:tc>
            <w:tc>
              <w:tcPr>
                <w:tcW w:w="1564" w:type="dxa"/>
              </w:tcPr>
              <w:p>
                <w:pPr>
                  <w:pStyle w:val="76"/>
                  <w:widowControl w:val="0"/>
                  <w:kinsoku w:val="0"/>
                  <w:overflowPunct w:val="0"/>
                  <w:autoSpaceDE w:val="0"/>
                  <w:autoSpaceDN w:val="0"/>
                  <w:adjustRightInd w:val="0"/>
                  <w:snapToGrid w:val="0"/>
                  <w:jc w:val="right"/>
                  <w:rPr>
                    <w:szCs w:val="21"/>
                  </w:rPr>
                </w:pPr>
                <w:r>
                  <w:t>-92.64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3483" w:type="dxa"/>
                <w:vAlign w:val="center"/>
              </w:tcPr>
              <w:p>
                <w:pPr>
                  <w:pStyle w:val="76"/>
                  <w:widowControl w:val="0"/>
                  <w:kinsoku w:val="0"/>
                  <w:overflowPunct w:val="0"/>
                  <w:autoSpaceDE w:val="0"/>
                  <w:autoSpaceDN w:val="0"/>
                  <w:adjustRightInd w:val="0"/>
                  <w:snapToGrid w:val="0"/>
                  <w:jc w:val="center"/>
                  <w:rPr>
                    <w:szCs w:val="21"/>
                  </w:rPr>
                </w:pPr>
              </w:p>
            </w:tc>
            <w:sdt>
              <w:sdtPr>
                <w:tag w:val="_PLD_b75e9aa554cc48539ab9de572d244f45"/>
                <w:id w:val="25153542"/>
                <w:lock w:val="sdtLocked"/>
              </w:sdtPr>
              <w:sdtContent>
                <w:tc>
                  <w:tcPr>
                    <w:tcW w:w="2001" w:type="dxa"/>
                    <w:vAlign w:val="center"/>
                  </w:tcPr>
                  <w:p>
                    <w:pPr>
                      <w:pStyle w:val="76"/>
                      <w:widowControl w:val="0"/>
                      <w:kinsoku w:val="0"/>
                      <w:overflowPunct w:val="0"/>
                      <w:autoSpaceDE w:val="0"/>
                      <w:autoSpaceDN w:val="0"/>
                      <w:adjustRightInd w:val="0"/>
                      <w:snapToGrid w:val="0"/>
                      <w:jc w:val="center"/>
                      <w:rPr>
                        <w:szCs w:val="21"/>
                      </w:rPr>
                    </w:pPr>
                    <w:r>
                      <w:t>本报告期末</w:t>
                    </w:r>
                  </w:p>
                </w:tc>
              </w:sdtContent>
            </w:sdt>
            <w:sdt>
              <w:sdtPr>
                <w:tag w:val="_PLD_7425b2bc6a39452296814978a781ba72"/>
                <w:id w:val="25153543"/>
                <w:lock w:val="sdtLocked"/>
              </w:sdtPr>
              <w:sdtContent>
                <w:tc>
                  <w:tcPr>
                    <w:tcW w:w="2001" w:type="dxa"/>
                    <w:vAlign w:val="center"/>
                  </w:tcPr>
                  <w:p>
                    <w:pPr>
                      <w:pStyle w:val="76"/>
                      <w:widowControl w:val="0"/>
                      <w:kinsoku w:val="0"/>
                      <w:overflowPunct w:val="0"/>
                      <w:autoSpaceDE w:val="0"/>
                      <w:autoSpaceDN w:val="0"/>
                      <w:adjustRightInd w:val="0"/>
                      <w:snapToGrid w:val="0"/>
                      <w:jc w:val="center"/>
                      <w:rPr>
                        <w:szCs w:val="21"/>
                      </w:rPr>
                    </w:pPr>
                    <w:r>
                      <w:t>上年度末</w:t>
                    </w:r>
                  </w:p>
                </w:tc>
              </w:sdtContent>
            </w:sdt>
            <w:sdt>
              <w:sdtPr>
                <w:tag w:val="_PLD_7a1ba9a6d9b54e51bd320f47b6233184"/>
                <w:id w:val="25153544"/>
                <w:lock w:val="sdtLocked"/>
              </w:sdtPr>
              <w:sdtContent>
                <w:tc>
                  <w:tcPr>
                    <w:tcW w:w="1564" w:type="dxa"/>
                    <w:vAlign w:val="center"/>
                  </w:tcPr>
                  <w:p>
                    <w:pPr>
                      <w:pStyle w:val="76"/>
                      <w:widowControl w:val="0"/>
                      <w:kinsoku w:val="0"/>
                      <w:overflowPunct w:val="0"/>
                      <w:autoSpaceDE w:val="0"/>
                      <w:autoSpaceDN w:val="0"/>
                      <w:adjustRightInd w:val="0"/>
                      <w:snapToGrid w:val="0"/>
                      <w:jc w:val="center"/>
                      <w:rPr>
                        <w:szCs w:val="21"/>
                      </w:rPr>
                    </w:pPr>
                    <w:r>
                      <w:t>本报告期末比上年度末增减</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12ab31af03f46e4bd02eb659877c070"/>
                <w:id w:val="25153545"/>
                <w:lock w:val="sdtLocked"/>
              </w:sdtPr>
              <w:sdtContent>
                <w:tc>
                  <w:tcPr>
                    <w:tcW w:w="3483" w:type="dxa"/>
                  </w:tcPr>
                  <w:p>
                    <w:pPr>
                      <w:pStyle w:val="76"/>
                      <w:widowControl w:val="0"/>
                      <w:kinsoku w:val="0"/>
                      <w:overflowPunct w:val="0"/>
                      <w:autoSpaceDE w:val="0"/>
                      <w:autoSpaceDN w:val="0"/>
                      <w:adjustRightInd w:val="0"/>
                      <w:snapToGrid w:val="0"/>
                      <w:jc w:val="both"/>
                      <w:rPr>
                        <w:szCs w:val="21"/>
                      </w:rPr>
                    </w:pPr>
                    <w:r>
                      <w:rPr>
                        <w:rFonts w:hint="eastAsia"/>
                        <w:szCs w:val="21"/>
                      </w:rPr>
                      <w:t>归属于上市公司股东的净资产</w:t>
                    </w:r>
                  </w:p>
                </w:tc>
              </w:sdtContent>
            </w:sdt>
            <w:tc>
              <w:tcPr>
                <w:tcW w:w="2001" w:type="dxa"/>
              </w:tcPr>
              <w:p>
                <w:pPr>
                  <w:pStyle w:val="76"/>
                  <w:widowControl w:val="0"/>
                  <w:kinsoku w:val="0"/>
                  <w:overflowPunct w:val="0"/>
                  <w:autoSpaceDE w:val="0"/>
                  <w:autoSpaceDN w:val="0"/>
                  <w:adjustRightInd w:val="0"/>
                  <w:snapToGrid w:val="0"/>
                  <w:jc w:val="right"/>
                  <w:rPr>
                    <w:szCs w:val="21"/>
                  </w:rPr>
                </w:pPr>
                <w:r>
                  <w:t>7,961,628,800.56</w:t>
                </w:r>
              </w:p>
            </w:tc>
            <w:tc>
              <w:tcPr>
                <w:tcW w:w="2001" w:type="dxa"/>
              </w:tcPr>
              <w:p>
                <w:pPr>
                  <w:pStyle w:val="76"/>
                  <w:widowControl w:val="0"/>
                  <w:kinsoku w:val="0"/>
                  <w:overflowPunct w:val="0"/>
                  <w:autoSpaceDE w:val="0"/>
                  <w:autoSpaceDN w:val="0"/>
                  <w:adjustRightInd w:val="0"/>
                  <w:snapToGrid w:val="0"/>
                  <w:jc w:val="right"/>
                  <w:rPr>
                    <w:bCs/>
                    <w:szCs w:val="21"/>
                  </w:rPr>
                </w:pPr>
                <w:r>
                  <w:t>7,199,197,932.14</w:t>
                </w:r>
              </w:p>
            </w:tc>
            <w:tc>
              <w:tcPr>
                <w:tcW w:w="1564" w:type="dxa"/>
              </w:tcPr>
              <w:p>
                <w:pPr>
                  <w:pStyle w:val="76"/>
                  <w:widowControl w:val="0"/>
                  <w:kinsoku w:val="0"/>
                  <w:overflowPunct w:val="0"/>
                  <w:autoSpaceDE w:val="0"/>
                  <w:autoSpaceDN w:val="0"/>
                  <w:adjustRightInd w:val="0"/>
                  <w:snapToGrid w:val="0"/>
                  <w:jc w:val="right"/>
                  <w:rPr>
                    <w:szCs w:val="21"/>
                  </w:rPr>
                </w:pPr>
                <w: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9e79cad72304cada434a9145656a31f"/>
                <w:id w:val="25153546"/>
                <w:lock w:val="sdtLocked"/>
              </w:sdtPr>
              <w:sdtContent>
                <w:tc>
                  <w:tcPr>
                    <w:tcW w:w="3483" w:type="dxa"/>
                  </w:tcPr>
                  <w:p>
                    <w:pPr>
                      <w:pStyle w:val="76"/>
                      <w:widowControl w:val="0"/>
                      <w:kinsoku w:val="0"/>
                      <w:overflowPunct w:val="0"/>
                      <w:autoSpaceDE w:val="0"/>
                      <w:autoSpaceDN w:val="0"/>
                      <w:adjustRightInd w:val="0"/>
                      <w:snapToGrid w:val="0"/>
                      <w:jc w:val="both"/>
                      <w:rPr>
                        <w:szCs w:val="21"/>
                      </w:rPr>
                    </w:pPr>
                    <w:r>
                      <w:rPr>
                        <w:rFonts w:hint="eastAsia"/>
                        <w:szCs w:val="21"/>
                      </w:rPr>
                      <w:t>总资产</w:t>
                    </w:r>
                  </w:p>
                </w:tc>
              </w:sdtContent>
            </w:sdt>
            <w:tc>
              <w:tcPr>
                <w:tcW w:w="2001" w:type="dxa"/>
              </w:tcPr>
              <w:p>
                <w:pPr>
                  <w:pStyle w:val="76"/>
                  <w:widowControl w:val="0"/>
                  <w:jc w:val="right"/>
                </w:pPr>
                <w:r>
                  <w:t>24,454,626,271.07</w:t>
                </w:r>
              </w:p>
            </w:tc>
            <w:tc>
              <w:tcPr>
                <w:tcW w:w="2001" w:type="dxa"/>
              </w:tcPr>
              <w:p>
                <w:pPr>
                  <w:pStyle w:val="76"/>
                  <w:widowControl w:val="0"/>
                  <w:jc w:val="right"/>
                </w:pPr>
                <w:r>
                  <w:t>23,073,917,245.23</w:t>
                </w:r>
              </w:p>
            </w:tc>
            <w:tc>
              <w:tcPr>
                <w:tcW w:w="1564" w:type="dxa"/>
              </w:tcPr>
              <w:p>
                <w:pPr>
                  <w:pStyle w:val="76"/>
                  <w:widowControl w:val="0"/>
                  <w:jc w:val="right"/>
                </w:pPr>
                <w:r>
                  <w:t>5.98</w:t>
                </w:r>
              </w:p>
            </w:tc>
          </w:tr>
        </w:tbl>
        <w:p>
          <w:pPr>
            <w:pStyle w:val="76"/>
          </w:pPr>
        </w:p>
      </w:sdtContent>
    </w:sdt>
    <w:p>
      <w:pPr>
        <w:pStyle w:val="76"/>
        <w:kinsoku w:val="0"/>
        <w:overflowPunct w:val="0"/>
        <w:autoSpaceDE w:val="0"/>
        <w:autoSpaceDN w:val="0"/>
        <w:adjustRightInd w:val="0"/>
        <w:snapToGrid w:val="0"/>
        <w:rPr>
          <w:szCs w:val="21"/>
        </w:rPr>
      </w:pPr>
    </w:p>
    <w:p>
      <w:pPr>
        <w:pStyle w:val="79"/>
        <w:numPr>
          <w:ilvl w:val="1"/>
          <w:numId w:val="4"/>
        </w:numPr>
        <w:rPr>
          <w:rFonts w:ascii="宋体" w:hAnsi="宋体"/>
          <w:szCs w:val="21"/>
        </w:rPr>
      </w:pPr>
      <w:r>
        <w:t>主要财务指标</w:t>
      </w:r>
    </w:p>
    <w:sdt>
      <w:sdtPr>
        <w:alias w:val="选项模块:主要财务指标(无追溯)"/>
        <w:tag w:val="_GBC_b44cc48c2c094fe699f563d257345cf5"/>
        <w:id w:val="25153557"/>
        <w:lock w:val="sdtLocked"/>
      </w:sdtPr>
      <w:sdtContent>
        <w:tbl>
          <w:tblPr>
            <w:tblStyle w:val="74"/>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418"/>
            <w:gridCol w:w="170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12e929543994adfbc7a21fe743cd125"/>
                <w:id w:val="25153548"/>
                <w:lock w:val="sdtLocked"/>
              </w:sdtPr>
              <w:sdtEndPr>
                <w:rPr>
                  <w:rFonts w:ascii="Times New Roman" w:hAnsi="Times New Roman"/>
                </w:rPr>
              </w:sdtEndPr>
              <w:sdtContent>
                <w:tc>
                  <w:tcPr>
                    <w:tcW w:w="3652" w:type="dxa"/>
                    <w:vAlign w:val="center"/>
                  </w:tcPr>
                  <w:p>
                    <w:pPr>
                      <w:pStyle w:val="76"/>
                      <w:widowControl w:val="0"/>
                      <w:kinsoku w:val="0"/>
                      <w:overflowPunct w:val="0"/>
                      <w:autoSpaceDE w:val="0"/>
                      <w:autoSpaceDN w:val="0"/>
                      <w:adjustRightInd w:val="0"/>
                      <w:snapToGrid w:val="0"/>
                      <w:jc w:val="center"/>
                      <w:rPr>
                        <w:szCs w:val="21"/>
                      </w:rPr>
                    </w:pPr>
                    <w:bookmarkStart w:id="12" w:name="_Toc342056398"/>
                    <w:bookmarkStart w:id="13" w:name="_Toc342565890"/>
                    <w:r>
                      <w:t>主要财务指标</w:t>
                    </w:r>
                  </w:p>
                </w:tc>
              </w:sdtContent>
            </w:sdt>
            <w:sdt>
              <w:sdtPr>
                <w:tag w:val="_PLD_d04f89449ff14c5fa39e871117b7e9e2"/>
                <w:id w:val="25153549"/>
                <w:lock w:val="sdtLocked"/>
              </w:sdtPr>
              <w:sdtContent>
                <w:tc>
                  <w:tcPr>
                    <w:tcW w:w="1418" w:type="dxa"/>
                    <w:vAlign w:val="center"/>
                  </w:tcPr>
                  <w:p>
                    <w:pPr>
                      <w:pStyle w:val="76"/>
                      <w:widowControl w:val="0"/>
                      <w:kinsoku w:val="0"/>
                      <w:overflowPunct w:val="0"/>
                      <w:autoSpaceDE w:val="0"/>
                      <w:autoSpaceDN w:val="0"/>
                      <w:adjustRightInd w:val="0"/>
                      <w:snapToGrid w:val="0"/>
                      <w:jc w:val="center"/>
                    </w:pPr>
                    <w:r>
                      <w:t>本报告期</w:t>
                    </w:r>
                  </w:p>
                  <w:p>
                    <w:pPr>
                      <w:pStyle w:val="76"/>
                      <w:widowControl w:val="0"/>
                      <w:kinsoku w:val="0"/>
                      <w:overflowPunct w:val="0"/>
                      <w:autoSpaceDE w:val="0"/>
                      <w:autoSpaceDN w:val="0"/>
                      <w:adjustRightInd w:val="0"/>
                      <w:snapToGrid w:val="0"/>
                      <w:jc w:val="center"/>
                      <w:rPr>
                        <w:szCs w:val="21"/>
                      </w:rPr>
                    </w:pPr>
                    <w:r>
                      <w:t>（1－6月）</w:t>
                    </w:r>
                  </w:p>
                </w:tc>
              </w:sdtContent>
            </w:sdt>
            <w:sdt>
              <w:sdtPr>
                <w:tag w:val="_PLD_bdb91a2a58254a0e945eecc5aef91521"/>
                <w:id w:val="25153550"/>
                <w:lock w:val="sdtLocked"/>
              </w:sdtPr>
              <w:sdtContent>
                <w:tc>
                  <w:tcPr>
                    <w:tcW w:w="1701" w:type="dxa"/>
                    <w:vAlign w:val="center"/>
                  </w:tcPr>
                  <w:p>
                    <w:pPr>
                      <w:pStyle w:val="76"/>
                      <w:widowControl w:val="0"/>
                      <w:kinsoku w:val="0"/>
                      <w:overflowPunct w:val="0"/>
                      <w:autoSpaceDE w:val="0"/>
                      <w:autoSpaceDN w:val="0"/>
                      <w:adjustRightInd w:val="0"/>
                      <w:snapToGrid w:val="0"/>
                      <w:jc w:val="center"/>
                      <w:rPr>
                        <w:szCs w:val="21"/>
                      </w:rPr>
                    </w:pPr>
                    <w:r>
                      <w:t>上年同期</w:t>
                    </w:r>
                  </w:p>
                </w:tc>
              </w:sdtContent>
            </w:sdt>
            <w:sdt>
              <w:sdtPr>
                <w:tag w:val="_PLD_08306889e5b040aa83784b3f6db386f1"/>
                <w:id w:val="25153551"/>
                <w:lock w:val="sdtLocked"/>
              </w:sdtPr>
              <w:sdtContent>
                <w:tc>
                  <w:tcPr>
                    <w:tcW w:w="2277" w:type="dxa"/>
                    <w:vAlign w:val="center"/>
                  </w:tcPr>
                  <w:p>
                    <w:pPr>
                      <w:pStyle w:val="76"/>
                      <w:widowControl w:val="0"/>
                      <w:kinsoku w:val="0"/>
                      <w:overflowPunct w:val="0"/>
                      <w:autoSpaceDE w:val="0"/>
                      <w:autoSpaceDN w:val="0"/>
                      <w:adjustRightInd w:val="0"/>
                      <w:snapToGrid w:val="0"/>
                      <w:jc w:val="center"/>
                      <w:rPr>
                        <w:szCs w:val="21"/>
                      </w:rPr>
                    </w:pPr>
                    <w:r>
                      <w:t>本报告期比上年同期增减</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89671b43cd048bda3f42f7ff187200a"/>
                <w:id w:val="25153552"/>
                <w:lock w:val="sdtLocked"/>
              </w:sdtPr>
              <w:sdtContent>
                <w:tc>
                  <w:tcPr>
                    <w:tcW w:w="3652" w:type="dxa"/>
                  </w:tcPr>
                  <w:p>
                    <w:pPr>
                      <w:pStyle w:val="76"/>
                      <w:widowControl w:val="0"/>
                      <w:kinsoku w:val="0"/>
                      <w:overflowPunct w:val="0"/>
                      <w:autoSpaceDE w:val="0"/>
                      <w:autoSpaceDN w:val="0"/>
                      <w:adjustRightInd w:val="0"/>
                      <w:snapToGrid w:val="0"/>
                      <w:jc w:val="both"/>
                      <w:rPr>
                        <w:szCs w:val="21"/>
                      </w:rPr>
                    </w:pPr>
                    <w:r>
                      <w:t>基本每股收益（元／股）</w:t>
                    </w:r>
                  </w:p>
                </w:tc>
              </w:sdtContent>
            </w:sdt>
            <w:tc>
              <w:tcPr>
                <w:tcW w:w="1418" w:type="dxa"/>
              </w:tcPr>
              <w:p>
                <w:pPr>
                  <w:pStyle w:val="76"/>
                  <w:widowControl w:val="0"/>
                  <w:kinsoku w:val="0"/>
                  <w:overflowPunct w:val="0"/>
                  <w:autoSpaceDE w:val="0"/>
                  <w:autoSpaceDN w:val="0"/>
                  <w:adjustRightInd w:val="0"/>
                  <w:snapToGrid w:val="0"/>
                  <w:jc w:val="right"/>
                  <w:rPr>
                    <w:szCs w:val="21"/>
                  </w:rPr>
                </w:pPr>
                <w:r>
                  <w:t>0.7962</w:t>
                </w:r>
              </w:p>
            </w:tc>
            <w:tc>
              <w:tcPr>
                <w:tcW w:w="1701" w:type="dxa"/>
              </w:tcPr>
              <w:p>
                <w:pPr>
                  <w:pStyle w:val="76"/>
                  <w:widowControl w:val="0"/>
                  <w:kinsoku w:val="0"/>
                  <w:overflowPunct w:val="0"/>
                  <w:autoSpaceDE w:val="0"/>
                  <w:autoSpaceDN w:val="0"/>
                  <w:adjustRightInd w:val="0"/>
                  <w:snapToGrid w:val="0"/>
                  <w:jc w:val="right"/>
                  <w:rPr>
                    <w:szCs w:val="21"/>
                  </w:rPr>
                </w:pPr>
                <w:r>
                  <w:t>0.1544</w:t>
                </w:r>
              </w:p>
            </w:tc>
            <w:tc>
              <w:tcPr>
                <w:tcW w:w="2277" w:type="dxa"/>
              </w:tcPr>
              <w:p>
                <w:pPr>
                  <w:pStyle w:val="76"/>
                  <w:widowControl w:val="0"/>
                  <w:kinsoku w:val="0"/>
                  <w:overflowPunct w:val="0"/>
                  <w:autoSpaceDE w:val="0"/>
                  <w:autoSpaceDN w:val="0"/>
                  <w:adjustRightInd w:val="0"/>
                  <w:snapToGrid w:val="0"/>
                  <w:jc w:val="right"/>
                  <w:rPr>
                    <w:szCs w:val="21"/>
                  </w:rPr>
                </w:pPr>
                <w:r>
                  <w:t>415.67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3c618810f6494198af9022cf5f9c92"/>
                <w:id w:val="25153553"/>
                <w:lock w:val="sdtLocked"/>
              </w:sdtPr>
              <w:sdtContent>
                <w:tc>
                  <w:tcPr>
                    <w:tcW w:w="3652" w:type="dxa"/>
                  </w:tcPr>
                  <w:p>
                    <w:pPr>
                      <w:pStyle w:val="76"/>
                      <w:widowControl w:val="0"/>
                      <w:kinsoku w:val="0"/>
                      <w:overflowPunct w:val="0"/>
                      <w:autoSpaceDE w:val="0"/>
                      <w:autoSpaceDN w:val="0"/>
                      <w:adjustRightInd w:val="0"/>
                      <w:snapToGrid w:val="0"/>
                      <w:jc w:val="both"/>
                      <w:rPr>
                        <w:szCs w:val="21"/>
                      </w:rPr>
                    </w:pPr>
                    <w:r>
                      <w:t>稀释每股收益（元／股）</w:t>
                    </w:r>
                  </w:p>
                </w:tc>
              </w:sdtContent>
            </w:sdt>
            <w:tc>
              <w:tcPr>
                <w:tcW w:w="1418" w:type="dxa"/>
              </w:tcPr>
              <w:p>
                <w:pPr>
                  <w:pStyle w:val="76"/>
                  <w:widowControl w:val="0"/>
                  <w:kinsoku w:val="0"/>
                  <w:overflowPunct w:val="0"/>
                  <w:autoSpaceDE w:val="0"/>
                  <w:autoSpaceDN w:val="0"/>
                  <w:adjustRightInd w:val="0"/>
                  <w:snapToGrid w:val="0"/>
                  <w:jc w:val="right"/>
                  <w:rPr>
                    <w:szCs w:val="21"/>
                  </w:rPr>
                </w:pPr>
                <w:r>
                  <w:t>0.7962</w:t>
                </w:r>
              </w:p>
            </w:tc>
            <w:tc>
              <w:tcPr>
                <w:tcW w:w="1701" w:type="dxa"/>
              </w:tcPr>
              <w:p>
                <w:pPr>
                  <w:pStyle w:val="76"/>
                  <w:widowControl w:val="0"/>
                  <w:kinsoku w:val="0"/>
                  <w:overflowPunct w:val="0"/>
                  <w:autoSpaceDE w:val="0"/>
                  <w:autoSpaceDN w:val="0"/>
                  <w:adjustRightInd w:val="0"/>
                  <w:snapToGrid w:val="0"/>
                  <w:jc w:val="right"/>
                  <w:rPr>
                    <w:szCs w:val="21"/>
                  </w:rPr>
                </w:pPr>
                <w:r>
                  <w:t>0.1544</w:t>
                </w:r>
              </w:p>
            </w:tc>
            <w:tc>
              <w:tcPr>
                <w:tcW w:w="2277" w:type="dxa"/>
              </w:tcPr>
              <w:p>
                <w:pPr>
                  <w:pStyle w:val="76"/>
                  <w:widowControl w:val="0"/>
                  <w:kinsoku w:val="0"/>
                  <w:overflowPunct w:val="0"/>
                  <w:autoSpaceDE w:val="0"/>
                  <w:autoSpaceDN w:val="0"/>
                  <w:adjustRightInd w:val="0"/>
                  <w:snapToGrid w:val="0"/>
                  <w:jc w:val="right"/>
                  <w:rPr>
                    <w:szCs w:val="21"/>
                  </w:rPr>
                </w:pPr>
                <w:r>
                  <w:t>415.67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95656a90ee4448a470f6a06fe39000"/>
                <w:id w:val="25153554"/>
                <w:lock w:val="sdtLocked"/>
              </w:sdtPr>
              <w:sdtContent>
                <w:tc>
                  <w:tcPr>
                    <w:tcW w:w="3652" w:type="dxa"/>
                  </w:tcPr>
                  <w:p>
                    <w:pPr>
                      <w:pStyle w:val="76"/>
                      <w:widowControl w:val="0"/>
                      <w:kinsoku w:val="0"/>
                      <w:overflowPunct w:val="0"/>
                      <w:autoSpaceDE w:val="0"/>
                      <w:autoSpaceDN w:val="0"/>
                      <w:adjustRightInd w:val="0"/>
                      <w:snapToGrid w:val="0"/>
                      <w:jc w:val="both"/>
                      <w:rPr>
                        <w:szCs w:val="21"/>
                      </w:rPr>
                    </w:pPr>
                    <w:r>
                      <w:t>扣除非经常性损益后的基本每股收益（元／股）</w:t>
                    </w:r>
                  </w:p>
                </w:tc>
              </w:sdtContent>
            </w:sdt>
            <w:tc>
              <w:tcPr>
                <w:tcW w:w="1418" w:type="dxa"/>
              </w:tcPr>
              <w:p>
                <w:pPr>
                  <w:pStyle w:val="76"/>
                  <w:widowControl w:val="0"/>
                  <w:kinsoku w:val="0"/>
                  <w:overflowPunct w:val="0"/>
                  <w:autoSpaceDE w:val="0"/>
                  <w:autoSpaceDN w:val="0"/>
                  <w:adjustRightInd w:val="0"/>
                  <w:snapToGrid w:val="0"/>
                  <w:jc w:val="right"/>
                  <w:rPr>
                    <w:szCs w:val="21"/>
                  </w:rPr>
                </w:pPr>
                <w:r>
                  <w:t>0.7919</w:t>
                </w:r>
              </w:p>
            </w:tc>
            <w:tc>
              <w:tcPr>
                <w:tcW w:w="1701" w:type="dxa"/>
              </w:tcPr>
              <w:p>
                <w:pPr>
                  <w:pStyle w:val="76"/>
                  <w:widowControl w:val="0"/>
                  <w:kinsoku w:val="0"/>
                  <w:overflowPunct w:val="0"/>
                  <w:autoSpaceDE w:val="0"/>
                  <w:autoSpaceDN w:val="0"/>
                  <w:adjustRightInd w:val="0"/>
                  <w:snapToGrid w:val="0"/>
                  <w:jc w:val="right"/>
                  <w:rPr>
                    <w:szCs w:val="21"/>
                  </w:rPr>
                </w:pPr>
                <w:r>
                  <w:t>0.1511</w:t>
                </w:r>
              </w:p>
            </w:tc>
            <w:tc>
              <w:tcPr>
                <w:tcW w:w="2277" w:type="dxa"/>
              </w:tcPr>
              <w:p>
                <w:pPr>
                  <w:pStyle w:val="76"/>
                  <w:widowControl w:val="0"/>
                  <w:kinsoku w:val="0"/>
                  <w:overflowPunct w:val="0"/>
                  <w:autoSpaceDE w:val="0"/>
                  <w:autoSpaceDN w:val="0"/>
                  <w:adjustRightInd w:val="0"/>
                  <w:snapToGrid w:val="0"/>
                  <w:jc w:val="right"/>
                  <w:rPr>
                    <w:szCs w:val="21"/>
                  </w:rPr>
                </w:pPr>
                <w:r>
                  <w:t>424.09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ae3fa8992794ff1bdf49e4e770ce96d"/>
                <w:id w:val="25153555"/>
                <w:lock w:val="sdtLocked"/>
              </w:sdtPr>
              <w:sdtContent>
                <w:tc>
                  <w:tcPr>
                    <w:tcW w:w="3652" w:type="dxa"/>
                  </w:tcPr>
                  <w:p>
                    <w:pPr>
                      <w:pStyle w:val="76"/>
                      <w:widowControl w:val="0"/>
                      <w:kinsoku w:val="0"/>
                      <w:overflowPunct w:val="0"/>
                      <w:autoSpaceDE w:val="0"/>
                      <w:autoSpaceDN w:val="0"/>
                      <w:adjustRightInd w:val="0"/>
                      <w:snapToGrid w:val="0"/>
                      <w:jc w:val="both"/>
                      <w:rPr>
                        <w:szCs w:val="21"/>
                      </w:rPr>
                    </w:pPr>
                    <w:r>
                      <w:t>加权平均净资产收益率（%）</w:t>
                    </w:r>
                  </w:p>
                </w:tc>
              </w:sdtContent>
            </w:sdt>
            <w:tc>
              <w:tcPr>
                <w:tcW w:w="1418" w:type="dxa"/>
              </w:tcPr>
              <w:p>
                <w:pPr>
                  <w:pStyle w:val="76"/>
                  <w:widowControl w:val="0"/>
                  <w:kinsoku w:val="0"/>
                  <w:overflowPunct w:val="0"/>
                  <w:autoSpaceDE w:val="0"/>
                  <w:autoSpaceDN w:val="0"/>
                  <w:adjustRightInd w:val="0"/>
                  <w:snapToGrid w:val="0"/>
                  <w:jc w:val="right"/>
                  <w:rPr>
                    <w:szCs w:val="21"/>
                  </w:rPr>
                </w:pPr>
                <w:r>
                  <w:t>27.71</w:t>
                </w:r>
              </w:p>
            </w:tc>
            <w:tc>
              <w:tcPr>
                <w:tcW w:w="1701" w:type="dxa"/>
              </w:tcPr>
              <w:p>
                <w:pPr>
                  <w:pStyle w:val="76"/>
                  <w:widowControl w:val="0"/>
                  <w:kinsoku w:val="0"/>
                  <w:overflowPunct w:val="0"/>
                  <w:autoSpaceDE w:val="0"/>
                  <w:autoSpaceDN w:val="0"/>
                  <w:adjustRightInd w:val="0"/>
                  <w:snapToGrid w:val="0"/>
                  <w:jc w:val="right"/>
                  <w:rPr>
                    <w:szCs w:val="21"/>
                  </w:rPr>
                </w:pPr>
                <w:r>
                  <w:t>8.19</w:t>
                </w:r>
              </w:p>
            </w:tc>
            <w:tc>
              <w:tcPr>
                <w:tcW w:w="2277" w:type="dxa"/>
              </w:tcPr>
              <w:p>
                <w:pPr>
                  <w:pStyle w:val="76"/>
                  <w:widowControl w:val="0"/>
                  <w:kinsoku w:val="0"/>
                  <w:overflowPunct w:val="0"/>
                  <w:autoSpaceDE w:val="0"/>
                  <w:autoSpaceDN w:val="0"/>
                  <w:adjustRightInd w:val="0"/>
                  <w:snapToGrid w:val="0"/>
                  <w:jc w:val="right"/>
                  <w:rPr>
                    <w:szCs w:val="21"/>
                  </w:rPr>
                </w:pPr>
                <w:r>
                  <w:t>增加19.52个百分点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7d92f3112bf450196ad8233f93a5237"/>
                <w:id w:val="25153556"/>
                <w:lock w:val="sdtLocked"/>
              </w:sdtPr>
              <w:sdtContent>
                <w:tc>
                  <w:tcPr>
                    <w:tcW w:w="3652" w:type="dxa"/>
                  </w:tcPr>
                  <w:p>
                    <w:pPr>
                      <w:pStyle w:val="76"/>
                      <w:widowControl w:val="0"/>
                      <w:kinsoku w:val="0"/>
                      <w:overflowPunct w:val="0"/>
                      <w:autoSpaceDE w:val="0"/>
                      <w:autoSpaceDN w:val="0"/>
                      <w:adjustRightInd w:val="0"/>
                      <w:snapToGrid w:val="0"/>
                      <w:jc w:val="both"/>
                      <w:rPr>
                        <w:szCs w:val="21"/>
                      </w:rPr>
                    </w:pPr>
                    <w:r>
                      <w:t>扣除非经常性损益后的加权平均净资产收益率（%）</w:t>
                    </w:r>
                  </w:p>
                </w:tc>
              </w:sdtContent>
            </w:sdt>
            <w:tc>
              <w:tcPr>
                <w:tcW w:w="1418" w:type="dxa"/>
              </w:tcPr>
              <w:p>
                <w:pPr>
                  <w:pStyle w:val="76"/>
                  <w:widowControl w:val="0"/>
                  <w:kinsoku w:val="0"/>
                  <w:overflowPunct w:val="0"/>
                  <w:autoSpaceDE w:val="0"/>
                  <w:autoSpaceDN w:val="0"/>
                  <w:adjustRightInd w:val="0"/>
                  <w:snapToGrid w:val="0"/>
                  <w:jc w:val="right"/>
                  <w:rPr>
                    <w:szCs w:val="21"/>
                  </w:rPr>
                </w:pPr>
                <w:r>
                  <w:t>27.56</w:t>
                </w:r>
              </w:p>
            </w:tc>
            <w:tc>
              <w:tcPr>
                <w:tcW w:w="1701" w:type="dxa"/>
              </w:tcPr>
              <w:p>
                <w:pPr>
                  <w:pStyle w:val="76"/>
                  <w:widowControl w:val="0"/>
                  <w:kinsoku w:val="0"/>
                  <w:overflowPunct w:val="0"/>
                  <w:autoSpaceDE w:val="0"/>
                  <w:autoSpaceDN w:val="0"/>
                  <w:adjustRightInd w:val="0"/>
                  <w:snapToGrid w:val="0"/>
                  <w:jc w:val="right"/>
                  <w:rPr>
                    <w:szCs w:val="21"/>
                  </w:rPr>
                </w:pPr>
                <w:r>
                  <w:t>8.01</w:t>
                </w:r>
              </w:p>
            </w:tc>
            <w:tc>
              <w:tcPr>
                <w:tcW w:w="2277" w:type="dxa"/>
              </w:tcPr>
              <w:p>
                <w:pPr>
                  <w:pStyle w:val="76"/>
                  <w:widowControl w:val="0"/>
                  <w:kinsoku w:val="0"/>
                  <w:overflowPunct w:val="0"/>
                  <w:autoSpaceDE w:val="0"/>
                  <w:autoSpaceDN w:val="0"/>
                  <w:adjustRightInd w:val="0"/>
                  <w:snapToGrid w:val="0"/>
                  <w:jc w:val="right"/>
                  <w:rPr>
                    <w:szCs w:val="21"/>
                  </w:rPr>
                </w:pPr>
                <w:r>
                  <w:t>增加19.55个百分点</w:t>
                </w:r>
              </w:p>
            </w:tc>
          </w:tr>
        </w:tbl>
        <w:p>
          <w:pPr>
            <w:pStyle w:val="76"/>
          </w:pPr>
        </w:p>
      </w:sdtContent>
    </w:sdt>
    <w:sdt>
      <w:sdtPr>
        <w:alias w:val="模块:公司主要会计数据和财务指标的说明"/>
        <w:tag w:val="_GBC_89dd4b4cf79140928f55be83e164f009"/>
        <w:id w:val="25153559"/>
        <w:lock w:val="sdtLocked"/>
        <w:placeholder>
          <w:docPart w:val="GBC22222222222222222222222222222"/>
        </w:placeholder>
      </w:sdtPr>
      <w:sdtEndPr>
        <w:rPr>
          <w:color w:val="FF0000"/>
        </w:rPr>
      </w:sdtEndPr>
      <w:sdtContent>
        <w:p>
          <w:pPr>
            <w:pStyle w:val="76"/>
          </w:pPr>
          <w:r>
            <w:t>公司主要会计数据和财务指标的说明</w:t>
          </w:r>
        </w:p>
        <w:sdt>
          <w:sdtPr>
            <w:alias w:val="是否适用：公司主要会计数据和财务指标的说明[双击切换]"/>
            <w:tag w:val="_GBC_cfe99dae5f804f6f8f02eb429483f98a"/>
            <w:id w:val="2515355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color w:val="FF0000"/>
            </w:rPr>
          </w:pPr>
        </w:p>
      </w:sdtContent>
    </w:sdt>
    <w:p>
      <w:pPr>
        <w:pStyle w:val="76"/>
      </w:pPr>
    </w:p>
    <w:p>
      <w:pPr>
        <w:pStyle w:val="78"/>
        <w:numPr>
          <w:ilvl w:val="1"/>
          <w:numId w:val="3"/>
        </w:numPr>
      </w:pPr>
      <w:r>
        <w:rPr>
          <w:rFonts w:hint="eastAsia"/>
        </w:rPr>
        <w:t>境内外会计准则下会计数据差异</w:t>
      </w:r>
      <w:bookmarkEnd w:id="12"/>
      <w:bookmarkEnd w:id="13"/>
    </w:p>
    <w:sdt>
      <w:sdtPr>
        <w:alias w:val="是否适用：境内外会计准则下会计数据差异[双击切换]"/>
        <w:tag w:val="_GBC_bdabc18d82504a7696c49b78e67b7ce4"/>
        <w:id w:val="2515356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
      <w:sdtPr>
        <w:rPr>
          <w:rFonts w:ascii="Calibri" w:hAnsi="Calibri" w:cs="宋体"/>
          <w:b w:val="0"/>
          <w:bCs w:val="0"/>
          <w:kern w:val="0"/>
          <w:szCs w:val="22"/>
        </w:rPr>
        <w:alias w:val="模块:非经常性损益项目和金额"/>
        <w:tag w:val="_GBC_cc768cb4b3324e91897639bcc1eabf3a"/>
        <w:id w:val="25153579"/>
        <w:lock w:val="sdtLocked"/>
        <w:placeholder>
          <w:docPart w:val="GBC22222222222222222222222222222"/>
        </w:placeholder>
      </w:sdtPr>
      <w:sdtEndPr>
        <w:rPr>
          <w:rFonts w:hint="eastAsia" w:cs="宋体" w:asciiTheme="minorEastAsia" w:hAnsiTheme="minorEastAsia" w:eastAsiaTheme="minorEastAsia"/>
          <w:b w:val="0"/>
          <w:bCs w:val="0"/>
          <w:kern w:val="0"/>
          <w:szCs w:val="24"/>
        </w:rPr>
      </w:sdtEndPr>
      <w:sdtContent>
        <w:p>
          <w:pPr>
            <w:pStyle w:val="78"/>
            <w:numPr>
              <w:ilvl w:val="1"/>
              <w:numId w:val="3"/>
            </w:numPr>
          </w:pPr>
          <w:r>
            <w:t>非经常性损益项目和金额</w:t>
          </w:r>
        </w:p>
        <w:sdt>
          <w:sdtPr>
            <w:alias w:val="是否适用：扣除非经常性损益项目和金额[双击切换]"/>
            <w:tag w:val="_GBC_73788dbb480b4eb4a9ce7ed83af2d844"/>
            <w:id w:val="2515356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扣除非经常性损益项目和金额"/>
              <w:tag w:val="_GBC_4e9158759d174bf5a404e9d2ad2cb849"/>
              <w:id w:val="251535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25153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74"/>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98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6af532b652e45b49bf4f28412917df0"/>
                <w:id w:val="25153564"/>
                <w:lock w:val="sdtLocked"/>
              </w:sdtPr>
              <w:sdtContent>
                <w:tc>
                  <w:tcPr>
                    <w:tcW w:w="5070" w:type="dxa"/>
                  </w:tcPr>
                  <w:p>
                    <w:pPr>
                      <w:pStyle w:val="90"/>
                      <w:ind w:firstLine="0" w:firstLineChars="0"/>
                      <w:jc w:val="center"/>
                    </w:pPr>
                    <w:r>
                      <w:rPr>
                        <w:rFonts w:hint="eastAsia"/>
                      </w:rPr>
                      <w:t>非经常性损益项目</w:t>
                    </w:r>
                  </w:p>
                </w:tc>
              </w:sdtContent>
            </w:sdt>
            <w:sdt>
              <w:sdtPr>
                <w:tag w:val="_PLD_61b9b734635d488db996440c136563c8"/>
                <w:id w:val="25153565"/>
                <w:lock w:val="sdtLocked"/>
              </w:sdtPr>
              <w:sdtContent>
                <w:tc>
                  <w:tcPr>
                    <w:tcW w:w="1984" w:type="dxa"/>
                  </w:tcPr>
                  <w:p>
                    <w:pPr>
                      <w:pStyle w:val="90"/>
                      <w:ind w:firstLine="0" w:firstLineChars="0"/>
                      <w:jc w:val="center"/>
                    </w:pPr>
                    <w:r>
                      <w:rPr>
                        <w:rFonts w:hint="eastAsia"/>
                      </w:rPr>
                      <w:t>金额</w:t>
                    </w:r>
                  </w:p>
                </w:tc>
              </w:sdtContent>
            </w:sdt>
            <w:sdt>
              <w:sdtPr>
                <w:tag w:val="_PLD_9e5d4505fc224fa08bc94ae2dc6cd081"/>
                <w:id w:val="25153566"/>
                <w:lock w:val="sdtLocked"/>
              </w:sdtPr>
              <w:sdtContent>
                <w:tc>
                  <w:tcPr>
                    <w:tcW w:w="1994" w:type="dxa"/>
                  </w:tcPr>
                  <w:p>
                    <w:pPr>
                      <w:pStyle w:val="90"/>
                      <w:ind w:firstLine="0" w:firstLineChars="0"/>
                      <w:jc w:val="center"/>
                    </w:pPr>
                    <w:r>
                      <w:rPr>
                        <w:rFonts w:hint="eastAsia"/>
                      </w:rPr>
                      <w:t>附注（如适用）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c9e925297d478d84779a68eec2bcd9"/>
                <w:id w:val="25153567"/>
                <w:lock w:val="sdtLocked"/>
              </w:sdtPr>
              <w:sdtContent>
                <w:tc>
                  <w:tcPr>
                    <w:tcW w:w="5070" w:type="dxa"/>
                  </w:tcPr>
                  <w:p>
                    <w:pPr>
                      <w:pStyle w:val="90"/>
                      <w:ind w:firstLine="0" w:firstLineChars="0"/>
                      <w:jc w:val="left"/>
                    </w:pPr>
                    <w:r>
                      <w:t>非流动资产处置损益</w:t>
                    </w:r>
                  </w:p>
                </w:tc>
              </w:sdtContent>
            </w:sdt>
            <w:tc>
              <w:tcPr>
                <w:tcW w:w="1984" w:type="dxa"/>
              </w:tcPr>
              <w:p>
                <w:pPr>
                  <w:pStyle w:val="76"/>
                  <w:widowControl w:val="0"/>
                  <w:jc w:val="right"/>
                </w:pPr>
              </w:p>
            </w:tc>
            <w:tc>
              <w:tcPr>
                <w:tcW w:w="1994" w:type="dxa"/>
              </w:tcPr>
              <w:p>
                <w:pPr>
                  <w:pStyle w:val="76"/>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9edea550024421a884da164740efd47"/>
                <w:id w:val="25153568"/>
                <w:lock w:val="sdtLocked"/>
              </w:sdtPr>
              <w:sdtContent>
                <w:tc>
                  <w:tcPr>
                    <w:tcW w:w="5070" w:type="dxa"/>
                  </w:tcPr>
                  <w:p>
                    <w:pPr>
                      <w:pStyle w:val="90"/>
                      <w:ind w:firstLine="0" w:firstLineChars="0"/>
                      <w:jc w:val="left"/>
                    </w:pPr>
                    <w:r>
                      <w:t>越权审批，或无正式批准文件，或偶发性的税收返还、减免</w:t>
                    </w:r>
                  </w:p>
                </w:tc>
              </w:sdtContent>
            </w:sdt>
            <w:tc>
              <w:tcPr>
                <w:tcW w:w="1984" w:type="dxa"/>
              </w:tcPr>
              <w:p>
                <w:pPr>
                  <w:pStyle w:val="76"/>
                  <w:widowControl w:val="0"/>
                  <w:jc w:val="right"/>
                </w:pPr>
              </w:p>
            </w:tc>
            <w:tc>
              <w:tcPr>
                <w:tcW w:w="1994" w:type="dxa"/>
              </w:tcPr>
              <w:p>
                <w:pPr>
                  <w:pStyle w:val="76"/>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595b9db1a84694900203cf9656bfe9"/>
                <w:id w:val="25153569"/>
                <w:lock w:val="sdtLocked"/>
              </w:sdtPr>
              <w:sdtContent>
                <w:tc>
                  <w:tcPr>
                    <w:tcW w:w="5070" w:type="dxa"/>
                  </w:tcPr>
                  <w:p>
                    <w:pPr>
                      <w:pStyle w:val="90"/>
                      <w:ind w:firstLine="0" w:firstLineChars="0"/>
                      <w:jc w:val="left"/>
                    </w:pPr>
                    <w:r>
                      <w:t>计入当期损益的政府补助，但与公司正常经营业务密切相关，符合国家政策规定、按照一定标准定额或定量持续享受的政府补助除外</w:t>
                    </w:r>
                  </w:p>
                </w:tc>
              </w:sdtContent>
            </w:sdt>
            <w:tc>
              <w:tcPr>
                <w:tcW w:w="1984" w:type="dxa"/>
                <w:vAlign w:val="center"/>
              </w:tcPr>
              <w:p>
                <w:pPr>
                  <w:pStyle w:val="76"/>
                  <w:widowControl w:val="0"/>
                  <w:jc w:val="right"/>
                </w:pPr>
                <w:r>
                  <w:t>12,712,709.88</w:t>
                </w:r>
              </w:p>
            </w:tc>
            <w:tc>
              <w:tcPr>
                <w:tcW w:w="1994" w:type="dxa"/>
                <w:vAlign w:val="center"/>
              </w:tcPr>
              <w:p>
                <w:pPr>
                  <w:pStyle w:val="76"/>
                  <w:widowControl w:val="0"/>
                  <w:jc w:val="right"/>
                </w:pPr>
                <w:r>
                  <w:rPr>
                    <w:rFonts w:hint="eastAsia"/>
                  </w:rPr>
                  <w:t>七、70、81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eefeb426a104d448899cf6f7c9f4fae"/>
                <w:id w:val="25153570"/>
                <w:lock w:val="sdtLocked"/>
              </w:sdtPr>
              <w:sdtContent>
                <w:tc>
                  <w:tcPr>
                    <w:tcW w:w="5070" w:type="dxa"/>
                  </w:tcPr>
                  <w:p>
                    <w:pPr>
                      <w:pStyle w:val="90"/>
                      <w:ind w:firstLine="0" w:firstLineChars="0"/>
                      <w:jc w:val="left"/>
                    </w:pPr>
                    <w:r>
                      <w:t>与公司正常经营业务无关的或有事项产生的损益</w:t>
                    </w:r>
                  </w:p>
                </w:tc>
              </w:sdtContent>
            </w:sdt>
            <w:tc>
              <w:tcPr>
                <w:tcW w:w="1984" w:type="dxa"/>
                <w:vAlign w:val="center"/>
              </w:tcPr>
              <w:p>
                <w:pPr>
                  <w:pStyle w:val="76"/>
                  <w:widowControl w:val="0"/>
                  <w:jc w:val="right"/>
                </w:pPr>
              </w:p>
            </w:tc>
            <w:tc>
              <w:tcPr>
                <w:tcW w:w="1994" w:type="dxa"/>
                <w:vAlign w:val="center"/>
              </w:tcPr>
              <w:p>
                <w:pPr>
                  <w:pStyle w:val="76"/>
                  <w:widowControl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814dfe1af94095ae4cdff2ac393529"/>
                <w:id w:val="25153571"/>
                <w:lock w:val="sdtLocked"/>
              </w:sdtPr>
              <w:sdtContent>
                <w:tc>
                  <w:tcPr>
                    <w:tcW w:w="5070" w:type="dxa"/>
                  </w:tcPr>
                  <w:p>
                    <w:pPr>
                      <w:pStyle w:val="90"/>
                      <w:ind w:firstLine="0" w:firstLineChars="0"/>
                      <w:jc w:val="left"/>
                    </w:pPr>
                    <w: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984" w:type="dxa"/>
                <w:vAlign w:val="center"/>
              </w:tcPr>
              <w:p>
                <w:pPr>
                  <w:pStyle w:val="76"/>
                  <w:widowControl w:val="0"/>
                  <w:jc w:val="right"/>
                </w:pPr>
                <w:r>
                  <w:t>-1,591,567.46</w:t>
                </w:r>
              </w:p>
            </w:tc>
            <w:tc>
              <w:tcPr>
                <w:tcW w:w="1994" w:type="dxa"/>
                <w:vAlign w:val="center"/>
              </w:tcPr>
              <w:p>
                <w:pPr>
                  <w:pStyle w:val="76"/>
                  <w:widowControl w:val="0"/>
                  <w:jc w:val="right"/>
                </w:pPr>
                <w:r>
                  <w:rPr>
                    <w:rFonts w:hint="eastAsia"/>
                  </w:rPr>
                  <w:t>七、68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14407e60d64306840dc9c21faca786"/>
                <w:id w:val="25153572"/>
                <w:lock w:val="sdtLocked"/>
              </w:sdtPr>
              <w:sdtContent>
                <w:tc>
                  <w:tcPr>
                    <w:tcW w:w="5070" w:type="dxa"/>
                  </w:tcPr>
                  <w:p>
                    <w:pPr>
                      <w:pStyle w:val="90"/>
                      <w:ind w:firstLine="0" w:firstLineChars="0"/>
                      <w:jc w:val="left"/>
                    </w:pPr>
                    <w:r>
                      <w:t>单独进行减值测试的应收款项减值准备转回</w:t>
                    </w:r>
                  </w:p>
                </w:tc>
              </w:sdtContent>
            </w:sdt>
            <w:tc>
              <w:tcPr>
                <w:tcW w:w="1984" w:type="dxa"/>
                <w:vAlign w:val="center"/>
              </w:tcPr>
              <w:p>
                <w:pPr>
                  <w:pStyle w:val="76"/>
                  <w:widowControl w:val="0"/>
                  <w:jc w:val="right"/>
                </w:pPr>
              </w:p>
            </w:tc>
            <w:tc>
              <w:tcPr>
                <w:tcW w:w="1994" w:type="dxa"/>
                <w:vAlign w:val="center"/>
              </w:tcPr>
              <w:p>
                <w:pPr>
                  <w:pStyle w:val="76"/>
                  <w:widowControl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99f6d9f507d4cb48114acd837ad8359"/>
                <w:id w:val="25153573"/>
                <w:lock w:val="sdtLocked"/>
              </w:sdtPr>
              <w:sdtContent>
                <w:tc>
                  <w:tcPr>
                    <w:tcW w:w="5070" w:type="dxa"/>
                  </w:tcPr>
                  <w:p>
                    <w:pPr>
                      <w:pStyle w:val="90"/>
                      <w:ind w:firstLine="0" w:firstLineChars="0"/>
                      <w:jc w:val="left"/>
                    </w:pPr>
                    <w:r>
                      <w:t>对外委托贷款取得的损益</w:t>
                    </w:r>
                  </w:p>
                </w:tc>
              </w:sdtContent>
            </w:sdt>
            <w:tc>
              <w:tcPr>
                <w:tcW w:w="1984" w:type="dxa"/>
                <w:vAlign w:val="center"/>
              </w:tcPr>
              <w:p>
                <w:pPr>
                  <w:pStyle w:val="76"/>
                  <w:widowControl w:val="0"/>
                  <w:jc w:val="right"/>
                </w:pPr>
              </w:p>
            </w:tc>
            <w:tc>
              <w:tcPr>
                <w:tcW w:w="1994" w:type="dxa"/>
                <w:vAlign w:val="center"/>
              </w:tcPr>
              <w:p>
                <w:pPr>
                  <w:pStyle w:val="76"/>
                  <w:widowControl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5d777c46bf342c69b250c467e00507e"/>
                <w:id w:val="25153574"/>
                <w:lock w:val="sdtLocked"/>
              </w:sdtPr>
              <w:sdtContent>
                <w:tc>
                  <w:tcPr>
                    <w:tcW w:w="5070" w:type="dxa"/>
                  </w:tcPr>
                  <w:p>
                    <w:pPr>
                      <w:pStyle w:val="90"/>
                      <w:ind w:firstLine="0" w:firstLineChars="0"/>
                      <w:jc w:val="left"/>
                    </w:pPr>
                    <w:r>
                      <w:t>除上述各项之外的其他营业外收入和支出</w:t>
                    </w:r>
                  </w:p>
                </w:tc>
              </w:sdtContent>
            </w:sdt>
            <w:tc>
              <w:tcPr>
                <w:tcW w:w="1984" w:type="dxa"/>
                <w:vAlign w:val="center"/>
              </w:tcPr>
              <w:p>
                <w:pPr>
                  <w:pStyle w:val="76"/>
                  <w:widowControl w:val="0"/>
                  <w:jc w:val="right"/>
                </w:pPr>
                <w:r>
                  <w:t>1,918,640.56</w:t>
                </w:r>
              </w:p>
            </w:tc>
            <w:tc>
              <w:tcPr>
                <w:tcW w:w="1994" w:type="dxa"/>
                <w:vAlign w:val="center"/>
              </w:tcPr>
              <w:p>
                <w:pPr>
                  <w:pStyle w:val="76"/>
                  <w:widowControl w:val="0"/>
                  <w:jc w:val="right"/>
                </w:pPr>
                <w:r>
                  <w:rPr>
                    <w:rFonts w:hint="eastAsia"/>
                  </w:rPr>
                  <w:t>七、71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cc4b6356f34adeb11de3e851d72079"/>
                <w:id w:val="25153575"/>
                <w:lock w:val="sdtLocked"/>
              </w:sdtPr>
              <w:sdtContent>
                <w:tc>
                  <w:tcPr>
                    <w:tcW w:w="5070" w:type="dxa"/>
                  </w:tcPr>
                  <w:p>
                    <w:pPr>
                      <w:pStyle w:val="90"/>
                      <w:ind w:firstLine="0" w:firstLineChars="0"/>
                      <w:jc w:val="left"/>
                    </w:pPr>
                    <w:r>
                      <w:t>其他符合非经常性损益定义的损益项目</w:t>
                    </w:r>
                  </w:p>
                </w:tc>
              </w:sdtContent>
            </w:sdt>
            <w:tc>
              <w:tcPr>
                <w:tcW w:w="1984" w:type="dxa"/>
                <w:vAlign w:val="center"/>
              </w:tcPr>
              <w:p>
                <w:pPr>
                  <w:pStyle w:val="76"/>
                  <w:widowControl w:val="0"/>
                  <w:jc w:val="right"/>
                </w:pPr>
              </w:p>
            </w:tc>
            <w:tc>
              <w:tcPr>
                <w:tcW w:w="1994" w:type="dxa"/>
              </w:tcPr>
              <w:p>
                <w:pPr>
                  <w:pStyle w:val="76"/>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e0667d68c0b417b952eb294efd204d7"/>
                <w:id w:val="25153576"/>
                <w:lock w:val="sdtLocked"/>
              </w:sdtPr>
              <w:sdtContent>
                <w:tc>
                  <w:tcPr>
                    <w:tcW w:w="5070" w:type="dxa"/>
                  </w:tcPr>
                  <w:p>
                    <w:pPr>
                      <w:pStyle w:val="90"/>
                      <w:ind w:firstLine="0" w:firstLineChars="0"/>
                      <w:jc w:val="left"/>
                    </w:pPr>
                    <w:r>
                      <w:t>少数股东权益影响额</w:t>
                    </w:r>
                  </w:p>
                </w:tc>
              </w:sdtContent>
            </w:sdt>
            <w:tc>
              <w:tcPr>
                <w:tcW w:w="1984" w:type="dxa"/>
                <w:vAlign w:val="center"/>
              </w:tcPr>
              <w:p>
                <w:pPr>
                  <w:pStyle w:val="76"/>
                  <w:widowControl w:val="0"/>
                  <w:jc w:val="right"/>
                </w:pPr>
              </w:p>
            </w:tc>
            <w:tc>
              <w:tcPr>
                <w:tcW w:w="1994" w:type="dxa"/>
              </w:tcPr>
              <w:p>
                <w:pPr>
                  <w:pStyle w:val="76"/>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67b3fcceba046d6ad67b7ce52c94054"/>
                <w:id w:val="25153577"/>
                <w:lock w:val="sdtLocked"/>
              </w:sdtPr>
              <w:sdtContent>
                <w:tc>
                  <w:tcPr>
                    <w:tcW w:w="5070" w:type="dxa"/>
                  </w:tcPr>
                  <w:p>
                    <w:pPr>
                      <w:pStyle w:val="90"/>
                      <w:ind w:firstLine="0" w:firstLineChars="0"/>
                      <w:jc w:val="left"/>
                    </w:pPr>
                    <w:r>
                      <w:t>所得税影响额</w:t>
                    </w:r>
                  </w:p>
                </w:tc>
              </w:sdtContent>
            </w:sdt>
            <w:tc>
              <w:tcPr>
                <w:tcW w:w="1984" w:type="dxa"/>
                <w:vAlign w:val="center"/>
              </w:tcPr>
              <w:p>
                <w:pPr>
                  <w:pStyle w:val="76"/>
                  <w:widowControl w:val="0"/>
                  <w:jc w:val="right"/>
                </w:pPr>
                <w:r>
                  <w:t>-1,955,967.45</w:t>
                </w:r>
              </w:p>
            </w:tc>
            <w:tc>
              <w:tcPr>
                <w:tcW w:w="1994" w:type="dxa"/>
              </w:tcPr>
              <w:p>
                <w:pPr>
                  <w:pStyle w:val="76"/>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96ea10929cc45b2a25a10ce3f3fd3ad"/>
                <w:id w:val="25153578"/>
                <w:lock w:val="sdtLocked"/>
              </w:sdtPr>
              <w:sdtContent>
                <w:tc>
                  <w:tcPr>
                    <w:tcW w:w="5070" w:type="dxa"/>
                  </w:tcPr>
                  <w:p>
                    <w:pPr>
                      <w:pStyle w:val="90"/>
                      <w:ind w:firstLine="0" w:firstLineChars="0"/>
                      <w:jc w:val="left"/>
                    </w:pPr>
                    <w:r>
                      <w:t>合计</w:t>
                    </w:r>
                  </w:p>
                </w:tc>
              </w:sdtContent>
            </w:sdt>
            <w:tc>
              <w:tcPr>
                <w:tcW w:w="1984" w:type="dxa"/>
                <w:vAlign w:val="center"/>
              </w:tcPr>
              <w:p>
                <w:pPr>
                  <w:pStyle w:val="76"/>
                  <w:widowControl w:val="0"/>
                  <w:jc w:val="right"/>
                </w:pPr>
                <w:r>
                  <w:t>11,083,815.53</w:t>
                </w:r>
              </w:p>
            </w:tc>
            <w:tc>
              <w:tcPr>
                <w:tcW w:w="1994" w:type="dxa"/>
              </w:tcPr>
              <w:p>
                <w:pPr>
                  <w:pStyle w:val="76"/>
                  <w:widowControl w:val="0"/>
                  <w:jc w:val="left"/>
                </w:pPr>
              </w:p>
            </w:tc>
          </w:tr>
        </w:tbl>
        <w:p>
          <w:pPr>
            <w:pStyle w:val="76"/>
            <w:rPr>
              <w:rFonts w:asciiTheme="minorEastAsia" w:hAnsiTheme="minorEastAsia" w:eastAsiaTheme="minorEastAsia"/>
            </w:rPr>
          </w:pPr>
        </w:p>
      </w:sdtContent>
    </w:sdt>
    <w:sdt>
      <w:sdtPr>
        <w:rPr>
          <w:rFonts w:hint="eastAsia" w:ascii="Calibri" w:hAnsi="Calibri" w:cs="宋体"/>
          <w:b w:val="0"/>
          <w:bCs w:val="0"/>
          <w:kern w:val="0"/>
          <w:szCs w:val="22"/>
        </w:rPr>
        <w:alias w:val="模块:其他财务和业务数据"/>
        <w:tag w:val="_GBC_129e81c113f94ab2b6af974b5d24abc6"/>
        <w:id w:val="25153581"/>
        <w:lock w:val="sdtLocked"/>
        <w:placeholder>
          <w:docPart w:val="GBC22222222222222222222222222222"/>
        </w:placeholder>
      </w:sdtPr>
      <w:sdtEndPr>
        <w:rPr>
          <w:rFonts w:hint="eastAsia" w:ascii="宋体" w:hAnsi="宋体" w:cs="宋体"/>
          <w:b w:val="0"/>
          <w:bCs w:val="0"/>
          <w:kern w:val="0"/>
          <w:szCs w:val="24"/>
        </w:rPr>
      </w:sdtEndPr>
      <w:sdtContent>
        <w:p>
          <w:pPr>
            <w:pStyle w:val="78"/>
            <w:numPr>
              <w:ilvl w:val="1"/>
              <w:numId w:val="3"/>
            </w:numPr>
            <w:rPr>
              <w:bCs w:val="0"/>
            </w:rPr>
          </w:pPr>
          <w:r>
            <w:rPr>
              <w:rFonts w:hint="eastAsia"/>
              <w:bCs w:val="0"/>
            </w:rPr>
            <w:t>其他</w:t>
          </w:r>
        </w:p>
        <w:sdt>
          <w:sdtPr>
            <w:alias w:val="是否适用：公司简介和主要财务指标其他说明[双击切换]"/>
            <w:tag w:val="_GBC_5b4104dc5c2c4501bc2420c70be30c2a"/>
            <w:id w:val="2515358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kinsoku w:val="0"/>
        <w:overflowPunct w:val="0"/>
        <w:autoSpaceDE w:val="0"/>
        <w:autoSpaceDN w:val="0"/>
        <w:adjustRightInd w:val="0"/>
        <w:snapToGrid w:val="0"/>
        <w:rPr>
          <w:szCs w:val="21"/>
        </w:rPr>
      </w:pPr>
    </w:p>
    <w:p>
      <w:pPr>
        <w:pStyle w:val="76"/>
        <w:kinsoku w:val="0"/>
        <w:overflowPunct w:val="0"/>
        <w:autoSpaceDE w:val="0"/>
        <w:autoSpaceDN w:val="0"/>
        <w:adjustRightInd w:val="0"/>
        <w:snapToGrid w:val="0"/>
        <w:rPr>
          <w:szCs w:val="21"/>
        </w:rPr>
      </w:pPr>
    </w:p>
    <w:p>
      <w:pPr>
        <w:pStyle w:val="76"/>
        <w:kinsoku w:val="0"/>
        <w:overflowPunct w:val="0"/>
        <w:autoSpaceDE w:val="0"/>
        <w:autoSpaceDN w:val="0"/>
        <w:adjustRightInd w:val="0"/>
        <w:snapToGrid w:val="0"/>
        <w:rPr>
          <w:szCs w:val="21"/>
        </w:rPr>
      </w:pPr>
    </w:p>
    <w:p>
      <w:pPr>
        <w:pStyle w:val="2"/>
        <w:numPr>
          <w:ilvl w:val="0"/>
          <w:numId w:val="2"/>
        </w:numPr>
        <w:rPr>
          <w:szCs w:val="21"/>
        </w:rPr>
      </w:pPr>
      <w:bookmarkStart w:id="14" w:name="_Toc484510566"/>
      <w:r>
        <w:rPr>
          <w:rFonts w:hint="eastAsia"/>
          <w:szCs w:val="21"/>
        </w:rPr>
        <w:t>公司业务概要</w:t>
      </w:r>
      <w:bookmarkEnd w:id="14"/>
    </w:p>
    <w:p>
      <w:pPr>
        <w:pStyle w:val="76"/>
      </w:pPr>
    </w:p>
    <w:p>
      <w:pPr>
        <w:pStyle w:val="76"/>
      </w:pPr>
    </w:p>
    <w:sdt>
      <w:sdtPr>
        <w:rPr>
          <w:rFonts w:hint="eastAsia" w:ascii="宋体" w:hAnsi="宋体"/>
          <w:b w:val="0"/>
          <w:bCs w:val="0"/>
          <w:szCs w:val="24"/>
        </w:rPr>
        <w:alias w:val="模块:报告期内公司所从事的主要业务、经营模式及行业情况说明"/>
        <w:tag w:val="_SEC_30613ac4c1d74a918acca2b58acc457d"/>
        <w:id w:val="25153583"/>
        <w:lock w:val="sdtLocked"/>
        <w:placeholder>
          <w:docPart w:val="GBC22222222222222222222222222222"/>
        </w:placeholder>
      </w:sdtPr>
      <w:sdtEndPr>
        <w:rPr>
          <w:rFonts w:hint="eastAsia" w:ascii="宋体" w:hAnsi="宋体"/>
          <w:b w:val="0"/>
          <w:bCs w:val="0"/>
          <w:szCs w:val="21"/>
        </w:rPr>
      </w:sdtEndPr>
      <w:sdtContent>
        <w:p>
          <w:pPr>
            <w:pStyle w:val="3"/>
            <w:numPr>
              <w:ilvl w:val="0"/>
              <w:numId w:val="5"/>
            </w:numPr>
            <w:tabs>
              <w:tab w:val="left" w:pos="426"/>
            </w:tabs>
          </w:pPr>
          <w:r>
            <w:rPr>
              <w:rFonts w:hint="eastAsia"/>
            </w:rPr>
            <w:t>报告期内公司所从事的主要业务、经营模式及行业情况说明</w:t>
          </w:r>
        </w:p>
        <w:sdt>
          <w:sdtPr>
            <w:rPr>
              <w:rFonts w:hint="eastAsia"/>
              <w:szCs w:val="24"/>
            </w:rPr>
            <w:alias w:val="报告期内公司所从事的主要业务、经营模式及行业情况说明"/>
            <w:tag w:val="_GBC_5c28d6f46eea48f892bed0c5fc99ab60"/>
            <w:id w:val="25153582"/>
            <w:lock w:val="sdtLocked"/>
            <w:placeholder>
              <w:docPart w:val="GBC22222222222222222222222222222"/>
            </w:placeholder>
          </w:sdtPr>
          <w:sdtEndPr>
            <w:rPr>
              <w:rFonts w:hint="eastAsia"/>
              <w:szCs w:val="24"/>
            </w:rPr>
          </w:sdtEndPr>
          <w:sdtContent>
            <w:p>
              <w:pPr>
                <w:rPr>
                  <w:color w:val="000000"/>
                </w:rPr>
              </w:pPr>
              <w:r>
                <w:rPr>
                  <w:rFonts w:hint="eastAsia"/>
                  <w:color w:val="000000"/>
                </w:rPr>
                <w:t>（一）公司的主要业务及产品</w:t>
              </w:r>
            </w:p>
            <w:p>
              <w:pPr>
                <w:rPr>
                  <w:color w:val="000000"/>
                </w:rPr>
              </w:pPr>
            </w:p>
            <w:p>
              <w:pPr>
                <w:rPr>
                  <w:color w:val="000000"/>
                </w:rPr>
              </w:pPr>
              <w:r>
                <w:rPr>
                  <w:rFonts w:hint="eastAsia"/>
                  <w:color w:val="000000"/>
                </w:rPr>
                <w:t xml:space="preserve">    公司依法经营烧结、炼铁、炼钢及其副产品的销售，钢材轧制、加工及其副产品的销售；炼焦及其副产品的销售。主要产品涵盖中板材、小型材、中型材、钢坯等，主要分为板材、角钢、槽钢、圆钢、螺纹钢、高线等品种。报告期内，公司的主营业务未产生重大变化。</w:t>
              </w:r>
            </w:p>
            <w:p>
              <w:pPr>
                <w:rPr>
                  <w:color w:val="000000"/>
                </w:rPr>
              </w:pPr>
              <w:r>
                <w:rPr>
                  <w:rFonts w:hint="eastAsia"/>
                  <w:color w:val="000000"/>
                </w:rPr>
                <w:t xml:space="preserve"> </w:t>
              </w:r>
            </w:p>
            <w:p>
              <w:pPr>
                <w:rPr>
                  <w:color w:val="000000"/>
                </w:rPr>
              </w:pPr>
              <w:r>
                <w:rPr>
                  <w:rFonts w:hint="eastAsia"/>
                  <w:color w:val="000000"/>
                </w:rPr>
                <w:t>（二）公司经营模式</w:t>
              </w:r>
            </w:p>
            <w:p>
              <w:pPr>
                <w:pStyle w:val="76"/>
              </w:pPr>
              <w:r>
                <w:rPr>
                  <w:rFonts w:hint="eastAsia"/>
                </w:rPr>
                <w:t xml:space="preserve"> </w:t>
              </w:r>
            </w:p>
            <w:p>
              <w:pPr>
                <w:pStyle w:val="76"/>
              </w:pPr>
              <w:r>
                <w:rPr>
                  <w:rFonts w:hint="eastAsia"/>
                </w:rPr>
                <w:t xml:space="preserve">    公司是目前广西区域最主要的大型钢铁联合生产企业，采用“开发＋生产＋销售型”经营模式，能够根据市场需求，开发市场所需的新产品，并自行生产销售。</w:t>
              </w:r>
            </w:p>
            <w:p>
              <w:pPr>
                <w:pStyle w:val="76"/>
              </w:pPr>
              <w:r>
                <w:rPr>
                  <w:rFonts w:hint="eastAsia"/>
                </w:rPr>
                <w:t xml:space="preserve"> </w:t>
              </w:r>
            </w:p>
            <w:p>
              <w:pPr>
                <w:rPr>
                  <w:color w:val="000000"/>
                </w:rPr>
              </w:pPr>
              <w:r>
                <w:rPr>
                  <w:rFonts w:hint="eastAsia"/>
                  <w:color w:val="000000"/>
                </w:rPr>
                <w:t>1.开发模式</w:t>
              </w:r>
            </w:p>
            <w:p>
              <w:pPr>
                <w:pStyle w:val="72"/>
                <w:rPr>
                  <w:rFonts w:ascii="宋体" w:hAnsi="宋体"/>
                </w:rPr>
              </w:pPr>
              <w:r>
                <w:rPr>
                  <w:rFonts w:hint="eastAsia" w:ascii="宋体" w:hAnsi="宋体"/>
                </w:rPr>
                <w:t xml:space="preserve">    技术中心为公司产品研发主体单位，下设有板材开发科、长材开发科、工艺技术科、金属材料检测室等科室，主要从事新产品、新工艺、新技术的开发及应用。公司建立有完善的“产销研”创新体系，品种研发团队由技术中心、经销公司、质量部、炼钢厂、中板厂、棒线型材厂的业务骨干组成，并形成完善的“信息-研究-生产-销售-服务”的品种开发链条。技术中心与东北大学、北京科技大学等大专院校及科研机构往来密切，通过项目合作、人才柔性引进等多种方式，不断提高产品研发能力。</w:t>
              </w:r>
              <w:r>
                <w:rPr>
                  <w:rFonts w:ascii="宋体" w:hAnsi="宋体"/>
                </w:rPr>
                <w:br w:type="textWrapping"/>
              </w:r>
            </w:p>
            <w:p>
              <w:pPr>
                <w:rPr>
                  <w:color w:val="000000"/>
                </w:rPr>
              </w:pPr>
              <w:r>
                <w:rPr>
                  <w:rFonts w:hint="eastAsia"/>
                  <w:color w:val="000000"/>
                </w:rPr>
                <w:t>2.采购模式</w:t>
              </w:r>
            </w:p>
            <w:p>
              <w:pPr>
                <w:pStyle w:val="76"/>
              </w:pPr>
              <w:r>
                <w:rPr>
                  <w:rFonts w:hint="eastAsia"/>
                </w:rPr>
                <w:t xml:space="preserve">    公司主营业务需要采购的大宗原燃料主要有铁矿石、煤、熔剂等。铁矿石主要依赖进口，进口铁矿石采购主要采用报盘询价谈判定价模式，国内铁矿石采用统一定价的采购模式；炼焦煤采购有报盘询价、谈判议价两种定价模式；熔剂采用谈判议价采购模式。</w:t>
              </w:r>
            </w:p>
            <w:p>
              <w:pPr>
                <w:pStyle w:val="76"/>
              </w:pPr>
              <w:r>
                <w:rPr>
                  <w:rFonts w:hint="eastAsia"/>
                </w:rPr>
                <w:t xml:space="preserve"> </w:t>
              </w:r>
            </w:p>
            <w:p>
              <w:pPr>
                <w:rPr>
                  <w:color w:val="000000"/>
                </w:rPr>
              </w:pPr>
              <w:r>
                <w:rPr>
                  <w:rFonts w:hint="eastAsia"/>
                  <w:color w:val="000000"/>
                </w:rPr>
                <w:t>3.生产模式</w:t>
              </w:r>
            </w:p>
            <w:p>
              <w:pPr>
                <w:ind w:firstLine="420" w:firstLineChars="200"/>
                <w:rPr>
                  <w:color w:val="000000"/>
                </w:rPr>
              </w:pPr>
              <w:r>
                <w:rPr>
                  <w:rFonts w:hint="eastAsia"/>
                  <w:color w:val="000000"/>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总调度室根据经销录入的订单，综合考虑炼钢产能、精炼炉能力、轧钢能力、设备检修、设备工况等因素，按照合同的交货期和订单的优先级编制生产计划，组织各产线生产。</w:t>
              </w:r>
            </w:p>
            <w:p>
              <w:pPr>
                <w:rPr>
                  <w:color w:val="FF0000"/>
                </w:rPr>
              </w:pPr>
              <w:r>
                <w:rPr>
                  <w:rFonts w:hint="eastAsia"/>
                  <w:color w:val="FF0000"/>
                </w:rPr>
                <w:t xml:space="preserve"> </w:t>
              </w:r>
            </w:p>
            <w:p>
              <w:pPr>
                <w:rPr>
                  <w:color w:val="000000"/>
                </w:rPr>
              </w:pPr>
              <w:r>
                <w:rPr>
                  <w:rFonts w:hint="eastAsia"/>
                  <w:color w:val="000000"/>
                </w:rPr>
                <w:t>4.销售模式</w:t>
              </w:r>
            </w:p>
            <w:p>
              <w:pPr>
                <w:ind w:firstLine="420" w:firstLineChars="200"/>
              </w:pPr>
              <w:r>
                <w:rPr>
                  <w:rFonts w:hint="eastAsia"/>
                </w:rPr>
                <w:t>公司根据客户的购买方式、销售渠道、产品流通形式等要素，采用的销售渠道有经销商销售、直供终端客户销售、投标中标重点工程专供销售、电商销售、出口销售等模式。</w:t>
              </w:r>
            </w:p>
            <w:p>
              <w:pPr>
                <w:pStyle w:val="76"/>
              </w:pPr>
            </w:p>
            <w:p>
              <w:pPr>
                <w:rPr>
                  <w:color w:val="000000" w:themeColor="text1"/>
                </w:rPr>
              </w:pPr>
              <w:r>
                <w:rPr>
                  <w:rFonts w:hint="eastAsia"/>
                  <w:color w:val="000000" w:themeColor="text1"/>
                </w:rPr>
                <w:t>（三）行业情况说明</w:t>
              </w:r>
            </w:p>
            <w:p>
              <w:pPr>
                <w:ind w:right="22" w:firstLine="420" w:firstLineChars="200"/>
                <w:rPr>
                  <w:kern w:val="144"/>
                </w:rPr>
              </w:pPr>
              <w:r>
                <w:rPr>
                  <w:rFonts w:hint="eastAsia"/>
                  <w:kern w:val="144"/>
                </w:rPr>
                <w:t>上半年，1～3月，钢价大幅下行；4月份以来，因环保督察、部分地区实行限产等因素叠加，钢市行情有所上涨并维持至今。下半年，预计钢价难有大幅上涨，并需警惕钢价回落的风险。主要有几方面的原因：</w:t>
              </w:r>
              <w:r>
                <w:rPr>
                  <w:rFonts w:hint="eastAsia"/>
                  <w:kern w:val="144"/>
                </w:rPr>
                <w:br w:type="textWrapping"/>
              </w:r>
              <w:r>
                <w:rPr>
                  <w:rFonts w:hint="eastAsia"/>
                  <w:kern w:val="144"/>
                </w:rPr>
                <w:t xml:space="preserve">    一是中美贸易摩擦增加市场不确定性。美国宣布加征关税的机电设备、机械装备、运输设备以及金属制品等，是重要的用钢行业，约占钢材总需求的20%以上。这些产品出口受阻，将对国内钢材需求产生不利影响。</w:t>
              </w:r>
              <w:r>
                <w:rPr>
                  <w:rFonts w:hint="eastAsia"/>
                  <w:kern w:val="144"/>
                </w:rPr>
                <w:br w:type="textWrapping"/>
              </w:r>
              <w:r>
                <w:rPr>
                  <w:rFonts w:hint="eastAsia"/>
                  <w:kern w:val="144"/>
                </w:rPr>
                <w:t xml:space="preserve">    二是粗钢生产保持高水平。一方面，前期限产的地区陆续复产，且效益提升继续刺激钢厂释放产量；另一方面，华东、西南和华中区域，下半年将新增电弧炉产能1350万吨。其中约400万吨为中板结构钢角钢，其他950万吨主要生产建筑材。</w:t>
              </w:r>
              <w:r>
                <w:rPr>
                  <w:rFonts w:hint="eastAsia"/>
                  <w:kern w:val="144"/>
                </w:rPr>
                <w:br w:type="textWrapping"/>
              </w:r>
              <w:r>
                <w:rPr>
                  <w:rFonts w:hint="eastAsia"/>
                  <w:kern w:val="144"/>
                </w:rPr>
                <w:t xml:space="preserve">    三是稳增长仍有下行压力。据统计，1-6月份，全国固定资产投资（不含农户）同比增长6.0%，是近十年来的最低点。其中，基础设施投资增长回落2.1个百分点，是造成固定资产投资回落的主要原因。</w:t>
              </w:r>
              <w:r>
                <w:rPr>
                  <w:rFonts w:hint="eastAsia"/>
                  <w:kern w:val="144"/>
                </w:rPr>
                <w:br w:type="textWrapping"/>
              </w:r>
              <w:r>
                <w:rPr>
                  <w:rFonts w:hint="eastAsia"/>
                  <w:kern w:val="144"/>
                </w:rPr>
                <w:t xml:space="preserve">    四是供大于求的基本面仍未有根本改变。上半年钢价上涨更多是得益于环保限产带来的供需错配，当前钢铁行业供大于求的态势仍未有根本好转。</w:t>
              </w:r>
            </w:p>
            <w:p>
              <w:pPr>
                <w:pStyle w:val="76"/>
              </w:pPr>
            </w:p>
          </w:sdtContent>
        </w:sdt>
      </w:sdtContent>
    </w:sdt>
    <w:p>
      <w:pPr>
        <w:pStyle w:val="76"/>
      </w:pPr>
    </w:p>
    <w:p>
      <w:pPr>
        <w:pStyle w:val="3"/>
        <w:numPr>
          <w:ilvl w:val="0"/>
          <w:numId w:val="5"/>
        </w:numPr>
        <w:tabs>
          <w:tab w:val="left" w:pos="426"/>
        </w:tabs>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2515358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b w:val="0"/>
          <w:bCs w:val="0"/>
          <w:szCs w:val="24"/>
        </w:rPr>
        <w:alias w:val="模块:报告期内核心竞争力分析"/>
        <w:tag w:val="_SEC_95fcc6373f8d4d92bdccbe04323713c4"/>
        <w:id w:val="25153587"/>
        <w:lock w:val="sdtLocked"/>
        <w:placeholder>
          <w:docPart w:val="GBC22222222222222222222222222222"/>
        </w:placeholder>
      </w:sdtPr>
      <w:sdtEndPr>
        <w:rPr>
          <w:rFonts w:hint="eastAsia" w:ascii="宋体" w:hAnsi="宋体"/>
          <w:b w:val="0"/>
          <w:bCs w:val="0"/>
          <w:szCs w:val="21"/>
        </w:rPr>
      </w:sdtEndPr>
      <w:sdtContent>
        <w:p>
          <w:pPr>
            <w:pStyle w:val="3"/>
            <w:numPr>
              <w:ilvl w:val="0"/>
              <w:numId w:val="5"/>
            </w:numPr>
            <w:tabs>
              <w:tab w:val="left" w:pos="426"/>
            </w:tabs>
          </w:pPr>
          <w:r>
            <w:rPr>
              <w:rFonts w:hint="eastAsia"/>
            </w:rPr>
            <w:t>报告期内核心竞争力分析</w:t>
          </w:r>
        </w:p>
        <w:sdt>
          <w:sdtPr>
            <w:alias w:val="是否适用：报告期内核心竞争力分析[双击切换]"/>
            <w:tag w:val="_GBC_f5e4beedb06c4dedb1da9c7f429d840e"/>
            <w:id w:val="2515358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报告期内核心竞争力分析"/>
            <w:tag w:val="_GBC_2aded0644185447a9ec788ba0b35ac4f"/>
            <w:id w:val="25153586"/>
            <w:lock w:val="sdtLocked"/>
            <w:placeholder>
              <w:docPart w:val="GBC22222222222222222222222222222"/>
            </w:placeholder>
          </w:sdtPr>
          <w:sdtEndPr>
            <w:rPr>
              <w:rFonts w:hint="eastAsia"/>
              <w:szCs w:val="21"/>
            </w:rPr>
          </w:sdtEndPr>
          <w:sdtContent>
            <w:p>
              <w:pPr>
                <w:pStyle w:val="76"/>
              </w:pPr>
              <w:r>
                <w:rPr>
                  <w:rFonts w:hint="eastAsia"/>
                </w:rPr>
                <w:t>（1）新产品开发优势</w:t>
              </w:r>
            </w:p>
            <w:p>
              <w:pPr>
                <w:ind w:firstLine="420" w:firstLineChars="200"/>
              </w:pPr>
              <w:r>
                <w:rPr>
                  <w:rFonts w:hint="eastAsia"/>
                </w:rPr>
                <w:t>在新产品开发方面，公司逐步打造了在建筑用钢、船用钢、工程机械用钢、模具用钢、汽车用钢等领域的品牌产品。</w:t>
              </w:r>
            </w:p>
            <w:p>
              <w:pPr>
                <w:pStyle w:val="76"/>
              </w:pPr>
              <w:r>
                <w:rPr>
                  <w:rFonts w:hint="eastAsia"/>
                </w:rPr>
                <w:t>（2）科技创新优势</w:t>
              </w:r>
            </w:p>
            <w:p>
              <w:pPr>
                <w:ind w:firstLine="420" w:firstLineChars="200"/>
              </w:pPr>
              <w:r>
                <w:rPr>
                  <w:rFonts w:hint="eastAsia"/>
                </w:rPr>
                <w:t>在科技创新方面，加强校企合作及基础研究，走“产、学、研、用”一体化道路，柔性引进人才，提高公司科技水平和研发能力。公司目前已经形成了以技术中心为主体，各管理部门和生产厂技术管理部门及车间参加，科研协作单位参与的三级技术创新体系，持续不断的促进钢铁产业新技术、新产品的开发及产业。</w:t>
              </w:r>
            </w:p>
            <w:p>
              <w:pPr>
                <w:pStyle w:val="76"/>
              </w:pPr>
              <w:r>
                <w:rPr>
                  <w:rFonts w:hint="eastAsia"/>
                </w:rPr>
                <w:t>（3）品牌建设优势</w:t>
              </w:r>
            </w:p>
            <w:p>
              <w:pPr>
                <w:pStyle w:val="76"/>
              </w:pPr>
              <w:r>
                <w:rPr>
                  <w:rFonts w:hint="eastAsia"/>
                </w:rPr>
                <w:t xml:space="preserve">    公司不遗余力深入推进产品品牌建设，扩大品牌影响力：热轧钢筋新增生产线获得国家质检总局核发生产许可证，具备合法生产销售资格；高强钢筋通过质量认证年度监审及</w:t>
              </w:r>
              <w:r>
                <w:t>HRB400E盘条扩项申报，获得产品质量认证证书；船用钢通过挪威-德劳工厂认可换证现场审核；船用钢通过CCS工厂认可年度监督审核；顺利完成结构钢欧盟CE和新加坡FPC认证年度监督审核。30MnSi管桩钢筋盘条获得冶金行业“品质卓越产品”称号；30MnSi管桩钢筋盘条获得冶金产品实物质量“金杯奖”称号；热轧带肋钢筋等8个产品获评</w:t>
              </w:r>
              <w:r>
                <w:rPr>
                  <w:rFonts w:hint="eastAsia"/>
                </w:rPr>
                <w:t>广西名牌产品荣誉。</w:t>
              </w:r>
            </w:p>
            <w:p>
              <w:pPr>
                <w:pStyle w:val="76"/>
              </w:pPr>
              <w:r>
                <w:rPr>
                  <w:rFonts w:hint="eastAsia"/>
                </w:rPr>
                <w:t>  </w:t>
              </w:r>
              <w:r>
                <w:t>柳钢还获得首届自治区主席质量奖等170多项荣誉称号，并成功入选工信部第一批符合《钢铁行业规范条件》企业。</w:t>
              </w:r>
            </w:p>
            <w:p>
              <w:pPr>
                <w:pStyle w:val="76"/>
              </w:pPr>
              <w:r>
                <w:rPr>
                  <w:rFonts w:hint="eastAsia"/>
                </w:rPr>
                <w:t>（4）区位优势</w:t>
              </w:r>
            </w:p>
            <w:p>
              <w:pPr>
                <w:snapToGrid w:val="0"/>
                <w:ind w:firstLine="420" w:firstLineChars="200"/>
                <w:outlineLvl w:val="0"/>
              </w:pPr>
              <w:r>
                <w:rPr>
                  <w:rFonts w:hint="eastAsia"/>
                </w:rPr>
                <w:t>公司有贴近区域大市场的运输及价格优势，是整个华南、西南地区最大的钢铁企业，80%左右的产品都集中在广东、广西地区销售，而两广区域的价格一直处在全国高位，且通过水路运输至广东的物流成本也较低，可以实现较好的效益。</w:t>
              </w:r>
            </w:p>
            <w:p>
              <w:pPr>
                <w:rPr>
                  <w:color w:val="000000"/>
                </w:rPr>
              </w:pPr>
              <w:r>
                <w:rPr>
                  <w:rFonts w:hint="eastAsia"/>
                  <w:color w:val="000000"/>
                </w:rPr>
                <w:t>（5）政策优势</w:t>
              </w:r>
            </w:p>
            <w:p>
              <w:r>
                <w:rPr>
                  <w:rFonts w:hint="eastAsia"/>
                </w:rPr>
                <w:t xml:space="preserve">    一是环保“严监管”仍将保持高压态势。以环保督查、绿色税收等措施为发力点，环保政策力度将持续增强，一方面严防新增产能，另一方面规范经营，逐渐扭转了“劣币驱逐良币”现象，为钢铁行业实现可持续健康发展创造更多有利条件。而柳钢是第一批通过《钢铁行业规范条件》的企业，节能减排、循环经济等走在全国同行前列，近年来累计投资60多亿元，建成50多项技术先进的环保项目，有效确保了工业废水“零”排放、废渣与废气全部综合回收利用，实现了现代钢铁企业与城市的和谐发展，企业形象和竞争力得到极大提升。</w:t>
              </w:r>
              <w:r>
                <w:rPr>
                  <w:rFonts w:hint="eastAsia"/>
                </w:rPr>
                <w:br w:type="textWrapping"/>
              </w:r>
              <w:r>
                <w:rPr>
                  <w:rFonts w:hint="eastAsia"/>
                  <w:color w:val="244D71"/>
                  <w:sz w:val="24"/>
                </w:rPr>
                <w:t xml:space="preserve">   </w:t>
              </w:r>
              <w:r>
                <w:rPr>
                  <w:rFonts w:hint="eastAsia"/>
                </w:rPr>
                <w:t xml:space="preserve"> 二是广西工业发展迎来新机遇。日前召开的全区工业高质量发展大会提出：着力强龙头，重点帮扶技术先进、带动力强、品牌影响大、有市场话语权的大企业大集团，促进大企业更强更优。这将有助于进一步增强柳钢在广西冶金产业中的核心地位。</w:t>
              </w:r>
            </w:p>
            <w:p>
              <w:pPr>
                <w:rPr>
                  <w:color w:val="000000"/>
                </w:rPr>
              </w:pPr>
              <w:r>
                <w:rPr>
                  <w:rFonts w:hint="eastAsia"/>
                  <w:color w:val="000000"/>
                </w:rPr>
                <w:t>（6）管理优势</w:t>
              </w:r>
            </w:p>
            <w:p>
              <w:r>
                <w:rPr>
                  <w:rFonts w:hint="eastAsia"/>
                </w:rPr>
                <w:t xml:space="preserve">    经过十多年的深化改革和建设，公司有一支精干高效、职业化水平较高的干部职工队伍，能够结合市场情况，根据市场需求以效益优先原则灵活调节产品结构，同时还可以通过钢材大市场的运作，适当调整和维护好钢材市场价格。柳钢在应对市场变化方面，具有反应快、判断准、决策快的灵活机制，这些都是我们搞好企业经营发展的关键条件和有力保证。</w:t>
              </w:r>
            </w:p>
            <w:p>
              <w:pPr>
                <w:rPr>
                  <w:color w:val="000000"/>
                </w:rPr>
              </w:pPr>
            </w:p>
            <w:p>
              <w:pPr>
                <w:rPr>
                  <w:color w:val="000000"/>
                </w:rPr>
              </w:pPr>
              <w:r>
                <w:rPr>
                  <w:color w:val="000000"/>
                </w:rPr>
                <w:br w:type="page"/>
              </w:r>
            </w:p>
          </w:sdtContent>
        </w:sdt>
      </w:sdtContent>
    </w:sdt>
    <w:p>
      <w:pPr>
        <w:pStyle w:val="2"/>
        <w:numPr>
          <w:ilvl w:val="0"/>
          <w:numId w:val="2"/>
        </w:numPr>
      </w:pPr>
      <w:bookmarkStart w:id="15" w:name="_Toc484510567"/>
      <w:r>
        <w:rPr>
          <w:rFonts w:hint="eastAsia"/>
        </w:rPr>
        <w:t>经营情况的讨论与分析</w:t>
      </w:r>
      <w:bookmarkEnd w:id="15"/>
    </w:p>
    <w:sdt>
      <w:sdtPr>
        <w:rPr>
          <w:rFonts w:hint="eastAsia" w:ascii="宋体" w:hAnsi="宋体"/>
          <w:b w:val="0"/>
          <w:bCs w:val="0"/>
          <w:szCs w:val="24"/>
        </w:rPr>
        <w:alias w:val="模块:经营情况的讨论与分析"/>
        <w:tag w:val="_GBC_ba3734a9f27a452095f3115c17f4b09e"/>
        <w:id w:val="25153589"/>
        <w:lock w:val="sdtLocked"/>
        <w:placeholder>
          <w:docPart w:val="GBC22222222222222222222222222222"/>
        </w:placeholder>
      </w:sdtPr>
      <w:sdtEndPr>
        <w:rPr>
          <w:rFonts w:hint="eastAsia" w:asciiTheme="minorEastAsia" w:hAnsiTheme="minorEastAsia" w:eastAsiaTheme="minorEastAsia"/>
          <w:b w:val="0"/>
          <w:bCs w:val="0"/>
          <w:szCs w:val="21"/>
        </w:rPr>
      </w:sdtEndPr>
      <w:sdtContent>
        <w:p>
          <w:pPr>
            <w:pStyle w:val="3"/>
            <w:numPr>
              <w:ilvl w:val="0"/>
              <w:numId w:val="6"/>
            </w:numPr>
            <w:spacing w:line="360" w:lineRule="auto"/>
          </w:pPr>
          <w:r>
            <w:t>经营情况的讨论与分析</w:t>
          </w:r>
        </w:p>
        <w:sdt>
          <w:sdtPr>
            <w:rPr>
              <w:rFonts w:hint="eastAsia"/>
            </w:rPr>
            <w:alias w:val="经营情况的讨论与分析"/>
            <w:tag w:val="_GBC_886258ec69e240da99b57ac102afbda6"/>
            <w:id w:val="25153588"/>
            <w:lock w:val="sdtLocked"/>
            <w:placeholder>
              <w:docPart w:val="GBC22222222222222222222222222222"/>
            </w:placeholder>
          </w:sdtPr>
          <w:sdtEndPr>
            <w:rPr>
              <w:rFonts w:hint="eastAsia"/>
            </w:rPr>
          </w:sdtEndPr>
          <w:sdtContent>
            <w:p>
              <w:pPr>
                <w:pStyle w:val="76"/>
              </w:pPr>
              <w:r>
                <w:rPr>
                  <w:rFonts w:hint="eastAsia"/>
                </w:rPr>
                <w:t xml:space="preserve">    上半年，钢铁行业深入推进供给侧结构性改革，去产能工作取得一定成效，“地条钢”基本得以全面取缔，钢企效益显著好转，行业运行稳中趋好。柳钢抢抓市场有利行情，围绕“调结构、拓市场、促改革、强管理、抓廉政”的总体工作思路，紧跟供给侧结构性改革步伐，全方位深化内部改革，全系统协同高效运转，公司各方面工作都取得了不错的成绩，并且呈现出诸多亮点。</w:t>
              </w:r>
            </w:p>
            <w:p>
              <w:pPr>
                <w:pStyle w:val="76"/>
              </w:pPr>
              <w:r>
                <w:rPr>
                  <w:rFonts w:hint="eastAsia"/>
                </w:rPr>
                <w:t>1.聚焦系统协同，生产经营实现稳步增长</w:t>
              </w:r>
              <w:r>
                <w:rPr>
                  <w:rFonts w:hint="eastAsia"/>
                </w:rPr>
                <w:br w:type="textWrapping"/>
              </w:r>
              <w:r>
                <w:rPr>
                  <w:rFonts w:hint="eastAsia"/>
                </w:rPr>
                <w:t xml:space="preserve">    报告期内，公司继续深化系统协同，从过去的工序协同推广到生产经营的各个环节，有效地促进了公司生产经营发展。同时，公司以市场为导向，及时调整轧钢生产，提高合同完成率。上半年96.5%的订单实现按期交付，同比提升3个百分点。深入开展设备管理攻关，有效控制设备故障停机时间。冶炼系统围绕铁钢平衡、铁焦平衡、铁烧平衡，统筹优化生产组织。优化采购及配煤、配矿工作，满足高炉用料需求。开展效能提升攻关、缩短冶炼周期攻关，进一步释放生产能力。轧材系统继续坚持效益优先的原则，根据排产计划灵活组织生产,报告期内，公司钢坯资源倾向效益较好的棒线型材厂和中板厂。</w:t>
              </w:r>
              <w:r>
                <w:rPr>
                  <w:rFonts w:hint="eastAsia"/>
                </w:rPr>
                <w:br w:type="textWrapping"/>
              </w:r>
              <w:r>
                <w:rPr>
                  <w:rFonts w:hint="eastAsia"/>
                </w:rPr>
                <w:t>2.聚焦降本提质，市场竞争力持续增强</w:t>
              </w:r>
              <w:r>
                <w:rPr>
                  <w:rFonts w:hint="eastAsia"/>
                </w:rPr>
                <w:br w:type="textWrapping"/>
              </w:r>
              <w:r>
                <w:rPr>
                  <w:rFonts w:hint="eastAsia"/>
                </w:rPr>
                <w:t xml:space="preserve">    采购方面，大宗原燃料采取小批量和指数定价为主的采购策略；生铁、废钢根据市场变化与生产需求灵活调整采购策略，最大限度控制采购成本。</w:t>
              </w:r>
              <w:r>
                <w:rPr>
                  <w:rFonts w:hint="eastAsia"/>
                </w:rPr>
                <w:br w:type="textWrapping"/>
              </w:r>
              <w:r>
                <w:rPr>
                  <w:rFonts w:hint="eastAsia"/>
                </w:rPr>
                <w:t xml:space="preserve">    生产方面，各生产单位积极开展内部挖潜降耗，进一步降低工序成本。</w:t>
              </w:r>
              <w:r>
                <w:rPr>
                  <w:rFonts w:hint="eastAsia"/>
                </w:rPr>
                <w:br w:type="textWrapping"/>
              </w:r>
              <w:r>
                <w:rPr>
                  <w:rFonts w:hint="eastAsia"/>
                </w:rPr>
                <w:t xml:space="preserve">    工艺优化方面，深入开展铁烧攻关、转炉攻关、轧钢攻关等，实现工艺创新降成本。</w:t>
              </w:r>
              <w:r>
                <w:rPr>
                  <w:rFonts w:hint="eastAsia"/>
                </w:rPr>
                <w:br w:type="textWrapping"/>
              </w:r>
              <w:r>
                <w:rPr>
                  <w:rFonts w:hint="eastAsia"/>
                </w:rPr>
                <w:t xml:space="preserve">    设备管理方面，科学策划设备运行管理指标，大力开展备件修旧利废、盘活超三年积压老旧备件及降库存攻关工作。</w:t>
              </w:r>
              <w:r>
                <w:rPr>
                  <w:rFonts w:hint="eastAsia"/>
                </w:rPr>
                <w:br w:type="textWrapping"/>
              </w:r>
              <w:r>
                <w:rPr>
                  <w:rFonts w:hint="eastAsia"/>
                </w:rPr>
                <w:t xml:space="preserve">    财务降成本方面，关注汇率变化，强化资金运作，综合降低资金成本。</w:t>
              </w:r>
              <w:r>
                <w:rPr>
                  <w:rFonts w:hint="eastAsia"/>
                </w:rPr>
                <w:br w:type="textWrapping"/>
              </w:r>
              <w:r>
                <w:rPr>
                  <w:rFonts w:hint="eastAsia"/>
                </w:rPr>
                <w:t xml:space="preserve">    成本做减法，质量则做加法。通过优化检验规程，严把进厂物资的源头质量关。加强各工序的质量管控力度，进一步提升产品质量稳定性。不断深入推进品牌建设，建筑钢筋获国家质检总局核发新证书；完成英、德、挪威三国船级社工厂认可换证审核。</w:t>
              </w:r>
            </w:p>
            <w:p>
              <w:pPr>
                <w:pStyle w:val="76"/>
              </w:pPr>
              <w:r>
                <w:rPr>
                  <w:rFonts w:hint="eastAsia"/>
                </w:rPr>
                <w:t>3.聚焦改革创新，精益管理成效更加显著</w:t>
              </w:r>
              <w:r>
                <w:rPr>
                  <w:rFonts w:hint="eastAsia"/>
                </w:rPr>
                <w:br w:type="textWrapping"/>
              </w:r>
              <w:r>
                <w:rPr>
                  <w:rFonts w:hint="eastAsia"/>
                </w:rPr>
                <w:t xml:space="preserve">    深化三项制度改革。进一步推进公司全员竞聘上岗制度。创新干部选用模式，中层干部全员“双向选择、竞聘上岗”。推进职位管理体制建设，完善岗位族、岗位类以及岗位分级管理。加大人才引进力度，拓宽人才引进渠道。探索人力资源优化专项激励。</w:t>
              </w:r>
              <w:r>
                <w:rPr>
                  <w:rFonts w:hint="eastAsia"/>
                </w:rPr>
                <w:br w:type="textWrapping"/>
              </w:r>
              <w:r>
                <w:rPr>
                  <w:rFonts w:hint="eastAsia"/>
                </w:rPr>
                <w:t xml:space="preserve">    实施人才分类培养。持续优化员工晋升发展通道，形成层次分明、多向互通的人才晋升发展机制。推行岗位等级培训标准，增强培训效果。利用“博士后工作站”“人才小高地”等平台，强化高端人才培养。加强技能人才培养，构建国家级技能大师工作室、自治区技能大师工作室、公司级技能专家工作室等三级梯队培养模式。</w:t>
              </w:r>
              <w:r>
                <w:rPr>
                  <w:rFonts w:hint="eastAsia"/>
                </w:rPr>
                <w:br w:type="textWrapping"/>
              </w:r>
              <w:r>
                <w:rPr>
                  <w:rFonts w:hint="eastAsia"/>
                </w:rPr>
                <w:t xml:space="preserve">    创新融资模式。获取更多中长期债务融资资金，努力优化债务结构。以贸易项下国内、国际信用证及结构性存款等产品为托盘，争取银行中长期贷款投放业务。</w:t>
              </w:r>
              <w:r>
                <w:rPr>
                  <w:rFonts w:hint="eastAsia"/>
                </w:rPr>
                <w:br w:type="textWrapping"/>
              </w:r>
              <w:r>
                <w:rPr>
                  <w:rFonts w:hint="eastAsia"/>
                </w:rPr>
                <w:t xml:space="preserve">    优化考核模式。结合公司2018年策划会目标，突出系统协同创效，对采购部、焦化厂、烧结厂及炼铁厂继续实行一体化考核，使铁和铁前高效协同。加大轧材系统成本指标奖励，促进降成本工作有效开展。结合市场有利行情，继续维持钢坯产量上台阶和采购降成本的激励政策。</w:t>
              </w:r>
              <w:r>
                <w:rPr>
                  <w:rFonts w:hint="eastAsia"/>
                </w:rPr>
                <w:br w:type="textWrapping"/>
              </w:r>
              <w:r>
                <w:rPr>
                  <w:rFonts w:hint="eastAsia"/>
                </w:rPr>
                <w:t>4.聚焦风险防控，可持续发展能力不断提升</w:t>
              </w:r>
              <w:r>
                <w:rPr>
                  <w:rFonts w:hint="eastAsia"/>
                </w:rPr>
                <w:br w:type="textWrapping"/>
              </w:r>
              <w:r>
                <w:rPr>
                  <w:rFonts w:hint="eastAsia"/>
                </w:rPr>
                <w:t xml:space="preserve">    强化审计问题整改。以风险为导向，重点开展公司生产经营迫切需要、急需堵塞漏洞、风险程度较高的审计项目，使审计重心由经济责任审计向专项审计转移，增强审计监督的系统性和时效性。</w:t>
              </w:r>
              <w:r>
                <w:rPr>
                  <w:rFonts w:hint="eastAsia"/>
                </w:rPr>
                <w:br w:type="textWrapping"/>
              </w:r>
              <w:r>
                <w:rPr>
                  <w:rFonts w:hint="eastAsia"/>
                </w:rPr>
                <w:t xml:space="preserve">    强化合同监督。推广合同管理亮点，每月通报存在问题并要求整改反馈，不断规范合同管理。坚持审核固化合同模板，开展经济合同审查，因合同订立而产生的纠纷为“零”。</w:t>
              </w:r>
              <w:r>
                <w:rPr>
                  <w:rFonts w:hint="eastAsia"/>
                </w:rPr>
                <w:br w:type="textWrapping"/>
              </w:r>
              <w:r>
                <w:rPr>
                  <w:rFonts w:hint="eastAsia"/>
                </w:rPr>
                <w:t xml:space="preserve">    强化法律风险管理。展专职、专业的法律服务，形成法律服务与生产经营无缝对接。设立合同风控员，强化合同风险管控，提高企业依法治企管理水平。</w:t>
              </w:r>
              <w:r>
                <w:rPr>
                  <w:rFonts w:hint="eastAsia"/>
                </w:rPr>
                <w:br w:type="textWrapping"/>
              </w:r>
              <w:r>
                <w:rPr>
                  <w:rFonts w:hint="eastAsia"/>
                </w:rPr>
                <w:t xml:space="preserve">    持续完善“黑名单”管理制度，遏制失信企业不良行为，营造良好的经营环境。</w:t>
              </w:r>
              <w:r>
                <w:rPr>
                  <w:rFonts w:hint="eastAsia"/>
                </w:rPr>
                <w:br w:type="textWrapping"/>
              </w:r>
              <w:r>
                <w:rPr>
                  <w:rFonts w:hint="eastAsia"/>
                </w:rPr>
                <w:t>5.聚焦节能环保，生产与生态愈发相得益彰</w:t>
              </w:r>
              <w:r>
                <w:rPr>
                  <w:rFonts w:hint="eastAsia"/>
                </w:rPr>
                <w:br w:type="textWrapping"/>
              </w:r>
              <w:r>
                <w:rPr>
                  <w:rFonts w:hint="eastAsia"/>
                </w:rPr>
                <w:t xml:space="preserve">    加强环境治理。上半年实现环境污染事故为“零”，废水、废气达标排放，工业水循环利用率98.21%，均完成策划目标。完成焦化一煤场棚化工程、焦化废水生化系统扩容改造、烧结脱硫烟气深度净化工程建设。有效处置固体废弃物，规范辐射源和射线管理。</w:t>
              </w:r>
              <w:r>
                <w:rPr>
                  <w:rFonts w:hint="eastAsia"/>
                </w:rPr>
                <w:br w:type="textWrapping"/>
              </w:r>
              <w:r>
                <w:rPr>
                  <w:rFonts w:hint="eastAsia"/>
                </w:rPr>
                <w:t xml:space="preserve">    加强能源管理及余热余能回收。开展发电、钢坯热送热装、降低轧钢加热炉煤气消耗、节水等系列节能降耗攻关。加强能源浪费、煤气运行检查。推进加热炉黑体技术应用，进一步提升能源利用效率。</w:t>
              </w:r>
            </w:p>
            <w:p>
              <w:pPr>
                <w:pStyle w:val="76"/>
              </w:pPr>
              <w:r>
                <w:rPr>
                  <w:rFonts w:hint="eastAsia"/>
                </w:rPr>
                <w:t>6.聚焦共建共享，职工获得感日益增强</w:t>
              </w:r>
              <w:r>
                <w:rPr>
                  <w:rFonts w:hint="eastAsia"/>
                </w:rPr>
                <w:br w:type="textWrapping"/>
              </w:r>
              <w:r>
                <w:rPr>
                  <w:rFonts w:hint="eastAsia"/>
                </w:rPr>
                <w:t xml:space="preserve">    推进企业文化繁荣，丰富职工业余生活。以建厂60周年为契机，全面实施企业文化项目建设。</w:t>
              </w:r>
              <w:r>
                <w:rPr>
                  <w:rFonts w:hint="eastAsia"/>
                </w:rPr>
                <w:br w:type="textWrapping"/>
              </w:r>
              <w:r>
                <w:rPr>
                  <w:rFonts w:hint="eastAsia"/>
                </w:rPr>
                <w:t xml:space="preserve">    强化精神文明建设，积极创建自治区级文明单位。完成柳钢社会主义核心价值观文化园建设。开展学雷锋系列主题活动和志愿者服务活动，成立柳钢青年志愿者社会实践教育基地，一些单位长期资助贫困村小学和贫困学生，企业文明之花灿然绽放。</w:t>
              </w:r>
            </w:p>
            <w:p>
              <w:pPr>
                <w:pStyle w:val="76"/>
              </w:pPr>
              <w:r>
                <w:rPr>
                  <w:rFonts w:hint="eastAsia"/>
                </w:rPr>
                <w:t xml:space="preserve">    保障职工福利，增进职工生活福祉。坚持企业重大决策和涉及职工切身利益的重要事项提交职工代表大会审议。继续开展“送清凉、送健康”活动，严格执行女职工特殊劳动保护规定，坚持开展广西职工医疗互助保障等。</w:t>
              </w:r>
            </w:p>
            <w:p>
              <w:pPr>
                <w:pStyle w:val="76"/>
              </w:pPr>
            </w:p>
          </w:sdtContent>
        </w:sdt>
        <w:p>
          <w:pPr>
            <w:rPr>
              <w:rFonts w:asciiTheme="minorEastAsia" w:hAnsiTheme="minorEastAsia" w:eastAsiaTheme="minorEastAsia"/>
            </w:rPr>
          </w:pPr>
        </w:p>
      </w:sdtContent>
    </w:sdt>
    <w:p>
      <w:pPr>
        <w:pStyle w:val="79"/>
        <w:numPr>
          <w:ilvl w:val="0"/>
          <w:numId w:val="7"/>
        </w:numPr>
      </w:pPr>
      <w:bookmarkStart w:id="16" w:name="_Toc342565895"/>
      <w:bookmarkStart w:id="17" w:name="_Toc342559738"/>
      <w:r>
        <w:rPr>
          <w:rFonts w:hint="eastAsia"/>
        </w:rPr>
        <w:t>主营业务分析</w:t>
      </w:r>
      <w:bookmarkEnd w:id="16"/>
      <w:bookmarkEnd w:id="17"/>
    </w:p>
    <w:p>
      <w:pPr>
        <w:pStyle w:val="80"/>
        <w:numPr>
          <w:ilvl w:val="0"/>
          <w:numId w:val="8"/>
        </w:numPr>
      </w:pPr>
      <w:bookmarkStart w:id="18" w:name="_Toc342559739"/>
      <w:bookmarkStart w:id="19" w:name="_Toc342565896"/>
      <w:r>
        <w:rPr>
          <w:rFonts w:hint="eastAsia"/>
        </w:rPr>
        <w:t>财务报表相关科目变动分析表</w:t>
      </w:r>
      <w:bookmarkEnd w:id="18"/>
      <w:bookmarkEnd w:id="19"/>
    </w:p>
    <w:sdt>
      <w:sdtPr>
        <w:rPr>
          <w:rFonts w:hint="eastAsia"/>
        </w:rPr>
        <w:alias w:val="模块:财务报表相关科目变动分析表"/>
        <w:tag w:val="_GBC_281bf95299804381a41f7dd82e2c19f3"/>
        <w:id w:val="25153614"/>
        <w:lock w:val="sdtLocked"/>
        <w:placeholder>
          <w:docPart w:val="GBC22222222222222222222222222222"/>
        </w:placeholder>
      </w:sdtPr>
      <w:sdtEndPr>
        <w:rPr>
          <w:rFonts w:hint="eastAsia"/>
          <w:color w:val="FF0000"/>
        </w:rPr>
      </w:sdtEndPr>
      <w:sdtContent>
        <w:p>
          <w:pPr>
            <w:pStyle w:val="90"/>
            <w:ind w:left="360" w:firstLine="0" w:firstLineChars="0"/>
            <w:jc w:val="right"/>
          </w:pPr>
          <w:r>
            <w:rPr>
              <w:rFonts w:hint="eastAsia" w:ascii="宋体" w:hAnsi="宋体"/>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251535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ascii="宋体" w:hAnsi="宋体"/>
                <w:szCs w:val="21"/>
              </w:rPr>
            </w:sdtEndPr>
            <w:sdtContent>
              <w:r>
                <w:rPr>
                  <w:rFonts w:ascii="宋体" w:hAnsi="宋体"/>
                  <w:szCs w:val="21"/>
                </w:rPr>
                <w:t>元</w:t>
              </w:r>
            </w:sdtContent>
          </w:sdt>
          <w:r>
            <w:rPr>
              <w:rFonts w:hint="eastAsia" w:ascii="宋体" w:hAnsi="宋体"/>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25153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ascii="宋体" w:hAnsi="宋体"/>
                <w:szCs w:val="21"/>
              </w:rPr>
            </w:sdtEndPr>
            <w:sdtContent>
              <w:r>
                <w:rPr>
                  <w:rFonts w:hint="eastAsia" w:ascii="宋体" w:hAnsi="宋体"/>
                  <w:szCs w:val="21"/>
                </w:rPr>
                <w:t>人民币</w:t>
              </w:r>
            </w:sdtContent>
          </w:sdt>
        </w:p>
        <w:tbl>
          <w:tblPr>
            <w:tblStyle w:val="7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810"/>
            <w:gridCol w:w="181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2e0d1bb8d44a278061305ea6808979"/>
                <w:id w:val="25153592"/>
                <w:lock w:val="sdtLocked"/>
              </w:sdtPr>
              <w:sdtContent>
                <w:tc>
                  <w:tcPr>
                    <w:tcW w:w="3444" w:type="dxa"/>
                  </w:tcPr>
                  <w:p>
                    <w:pPr>
                      <w:pStyle w:val="90"/>
                      <w:ind w:firstLine="0" w:firstLineChars="0"/>
                      <w:rPr>
                        <w:rFonts w:ascii="宋体" w:hAnsi="宋体"/>
                        <w:szCs w:val="21"/>
                      </w:rPr>
                    </w:pPr>
                    <w:r>
                      <w:rPr>
                        <w:rFonts w:hint="eastAsia" w:ascii="宋体" w:hAnsi="宋体"/>
                        <w:szCs w:val="21"/>
                      </w:rPr>
                      <w:t>科目</w:t>
                    </w:r>
                  </w:p>
                </w:tc>
              </w:sdtContent>
            </w:sdt>
            <w:sdt>
              <w:sdtPr>
                <w:tag w:val="_PLD_37391874ab08430b841a55f53c4d20e6"/>
                <w:id w:val="25153593"/>
                <w:lock w:val="sdtLocked"/>
              </w:sdtPr>
              <w:sdtContent>
                <w:tc>
                  <w:tcPr>
                    <w:tcW w:w="1810" w:type="dxa"/>
                    <w:vAlign w:val="center"/>
                  </w:tcPr>
                  <w:p>
                    <w:pPr>
                      <w:pStyle w:val="90"/>
                      <w:ind w:firstLine="0" w:firstLineChars="0"/>
                      <w:jc w:val="center"/>
                      <w:rPr>
                        <w:rFonts w:ascii="宋体" w:hAnsi="宋体"/>
                        <w:szCs w:val="21"/>
                      </w:rPr>
                    </w:pPr>
                    <w:r>
                      <w:rPr>
                        <w:rFonts w:hint="eastAsia" w:ascii="宋体" w:hAnsi="宋体"/>
                        <w:szCs w:val="21"/>
                      </w:rPr>
                      <w:t>本期数</w:t>
                    </w:r>
                  </w:p>
                </w:tc>
              </w:sdtContent>
            </w:sdt>
            <w:sdt>
              <w:sdtPr>
                <w:tag w:val="_PLD_d061bf6d7e824e93a5540d2e36feb15d"/>
                <w:id w:val="25153594"/>
                <w:lock w:val="sdtLocked"/>
              </w:sdtPr>
              <w:sdtContent>
                <w:tc>
                  <w:tcPr>
                    <w:tcW w:w="1810" w:type="dxa"/>
                    <w:vAlign w:val="center"/>
                  </w:tcPr>
                  <w:p>
                    <w:pPr>
                      <w:pStyle w:val="90"/>
                      <w:ind w:firstLine="0" w:firstLineChars="0"/>
                      <w:jc w:val="center"/>
                      <w:rPr>
                        <w:rFonts w:ascii="宋体" w:hAnsi="宋体"/>
                        <w:szCs w:val="21"/>
                      </w:rPr>
                    </w:pPr>
                    <w:r>
                      <w:rPr>
                        <w:rFonts w:hint="eastAsia" w:ascii="宋体" w:hAnsi="宋体"/>
                        <w:szCs w:val="21"/>
                      </w:rPr>
                      <w:t>上年同期数</w:t>
                    </w:r>
                  </w:p>
                </w:tc>
              </w:sdtContent>
            </w:sdt>
            <w:sdt>
              <w:sdtPr>
                <w:tag w:val="_PLD_1792b71106c34c75af22292391c96e49"/>
                <w:id w:val="25153595"/>
                <w:lock w:val="sdtLocked"/>
              </w:sdtPr>
              <w:sdtContent>
                <w:tc>
                  <w:tcPr>
                    <w:tcW w:w="1985" w:type="dxa"/>
                    <w:vAlign w:val="center"/>
                  </w:tcPr>
                  <w:p>
                    <w:pPr>
                      <w:pStyle w:val="90"/>
                      <w:ind w:firstLine="0" w:firstLineChars="0"/>
                      <w:jc w:val="center"/>
                      <w:rPr>
                        <w:rFonts w:ascii="宋体" w:hAnsi="宋体"/>
                        <w:szCs w:val="21"/>
                      </w:rPr>
                    </w:pPr>
                    <w:r>
                      <w:rPr>
                        <w:rFonts w:hint="eastAsia" w:ascii="宋体" w:hAnsi="宋体"/>
                        <w:szCs w:val="21"/>
                      </w:rPr>
                      <w:t>变动比例（%）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aabd73356d4df6ad6c67395e690823"/>
                <w:id w:val="25153596"/>
                <w:lock w:val="sdtLocked"/>
              </w:sdtPr>
              <w:sdtContent>
                <w:tc>
                  <w:tcPr>
                    <w:tcW w:w="3444" w:type="dxa"/>
                  </w:tcPr>
                  <w:p>
                    <w:pPr>
                      <w:pStyle w:val="90"/>
                      <w:ind w:firstLine="0" w:firstLineChars="0"/>
                      <w:rPr>
                        <w:rFonts w:ascii="宋体" w:hAnsi="宋体"/>
                        <w:szCs w:val="21"/>
                      </w:rPr>
                    </w:pPr>
                    <w:r>
                      <w:rPr>
                        <w:rFonts w:hint="eastAsia" w:ascii="宋体" w:hAnsi="宋体"/>
                        <w:szCs w:val="21"/>
                      </w:rPr>
                      <w:t>营业收入</w:t>
                    </w:r>
                  </w:p>
                </w:tc>
              </w:sdtContent>
            </w:sdt>
            <w:tc>
              <w:tcPr>
                <w:tcW w:w="1810" w:type="dxa"/>
              </w:tcPr>
              <w:p>
                <w:pPr>
                  <w:pStyle w:val="90"/>
                  <w:ind w:firstLine="0" w:firstLineChars="0"/>
                  <w:jc w:val="right"/>
                  <w:rPr>
                    <w:rFonts w:ascii="宋体" w:hAnsi="宋体"/>
                    <w:szCs w:val="21"/>
                  </w:rPr>
                </w:pPr>
                <w:r>
                  <w:t>22,583,288,487.07</w:t>
                </w:r>
              </w:p>
            </w:tc>
            <w:tc>
              <w:tcPr>
                <w:tcW w:w="1810" w:type="dxa"/>
              </w:tcPr>
              <w:p>
                <w:pPr>
                  <w:pStyle w:val="90"/>
                  <w:ind w:firstLine="0" w:firstLineChars="0"/>
                  <w:jc w:val="right"/>
                  <w:rPr>
                    <w:rFonts w:ascii="宋体" w:hAnsi="宋体"/>
                    <w:szCs w:val="21"/>
                  </w:rPr>
                </w:pPr>
                <w:r>
                  <w:t>19,094,778,928.36</w:t>
                </w:r>
              </w:p>
            </w:tc>
            <w:tc>
              <w:tcPr>
                <w:tcW w:w="1985" w:type="dxa"/>
              </w:tcPr>
              <w:p>
                <w:pPr>
                  <w:pStyle w:val="90"/>
                  <w:ind w:firstLine="0" w:firstLineChars="0"/>
                  <w:jc w:val="right"/>
                  <w:rPr>
                    <w:rFonts w:ascii="宋体" w:hAnsi="宋体"/>
                    <w:szCs w:val="21"/>
                  </w:rPr>
                </w:pPr>
                <w: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43930b444784190b0545eacad3472d8"/>
                <w:id w:val="25153597"/>
                <w:lock w:val="sdtLocked"/>
              </w:sdtPr>
              <w:sdtContent>
                <w:tc>
                  <w:tcPr>
                    <w:tcW w:w="3444" w:type="dxa"/>
                  </w:tcPr>
                  <w:p>
                    <w:pPr>
                      <w:pStyle w:val="90"/>
                      <w:ind w:firstLine="0" w:firstLineChars="0"/>
                      <w:rPr>
                        <w:rFonts w:ascii="宋体" w:hAnsi="宋体"/>
                        <w:szCs w:val="21"/>
                      </w:rPr>
                    </w:pPr>
                    <w:r>
                      <w:rPr>
                        <w:rFonts w:ascii="宋体" w:hAnsi="宋体"/>
                        <w:szCs w:val="21"/>
                      </w:rPr>
                      <w:t>营业成本</w:t>
                    </w:r>
                  </w:p>
                </w:tc>
              </w:sdtContent>
            </w:sdt>
            <w:tc>
              <w:tcPr>
                <w:tcW w:w="1810" w:type="dxa"/>
              </w:tcPr>
              <w:p>
                <w:pPr>
                  <w:pStyle w:val="90"/>
                  <w:ind w:firstLine="0" w:firstLineChars="0"/>
                  <w:jc w:val="right"/>
                  <w:rPr>
                    <w:rFonts w:ascii="宋体" w:hAnsi="宋体"/>
                    <w:szCs w:val="21"/>
                  </w:rPr>
                </w:pPr>
                <w:r>
                  <w:t>19,617,559,054.87</w:t>
                </w:r>
              </w:p>
            </w:tc>
            <w:tc>
              <w:tcPr>
                <w:tcW w:w="1810" w:type="dxa"/>
              </w:tcPr>
              <w:p>
                <w:pPr>
                  <w:pStyle w:val="90"/>
                  <w:ind w:firstLine="0" w:firstLineChars="0"/>
                  <w:jc w:val="right"/>
                  <w:rPr>
                    <w:rFonts w:ascii="宋体" w:hAnsi="宋体"/>
                    <w:szCs w:val="21"/>
                  </w:rPr>
                </w:pPr>
                <w:r>
                  <w:t>18,378,497,142.79</w:t>
                </w:r>
              </w:p>
            </w:tc>
            <w:tc>
              <w:tcPr>
                <w:tcW w:w="1985" w:type="dxa"/>
              </w:tcPr>
              <w:p>
                <w:pPr>
                  <w:pStyle w:val="90"/>
                  <w:ind w:firstLine="0" w:firstLineChars="0"/>
                  <w:jc w:val="right"/>
                  <w:rPr>
                    <w:rFonts w:ascii="宋体" w:hAnsi="宋体"/>
                    <w:szCs w:val="21"/>
                  </w:rPr>
                </w:pPr>
                <w: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40de3631dd486996919c00b7b71b20"/>
                <w:id w:val="25153598"/>
                <w:lock w:val="sdtLocked"/>
              </w:sdtPr>
              <w:sdtContent>
                <w:tc>
                  <w:tcPr>
                    <w:tcW w:w="3444" w:type="dxa"/>
                  </w:tcPr>
                  <w:p>
                    <w:pPr>
                      <w:pStyle w:val="90"/>
                      <w:ind w:firstLine="0" w:firstLineChars="0"/>
                      <w:rPr>
                        <w:rFonts w:ascii="宋体" w:hAnsi="宋体"/>
                        <w:szCs w:val="21"/>
                      </w:rPr>
                    </w:pPr>
                    <w:r>
                      <w:rPr>
                        <w:rFonts w:ascii="宋体" w:hAnsi="宋体"/>
                        <w:szCs w:val="21"/>
                      </w:rPr>
                      <w:t>销售费用</w:t>
                    </w:r>
                  </w:p>
                </w:tc>
              </w:sdtContent>
            </w:sdt>
            <w:tc>
              <w:tcPr>
                <w:tcW w:w="1810" w:type="dxa"/>
              </w:tcPr>
              <w:p>
                <w:pPr>
                  <w:pStyle w:val="90"/>
                  <w:ind w:firstLine="0" w:firstLineChars="0"/>
                  <w:jc w:val="right"/>
                  <w:rPr>
                    <w:rFonts w:ascii="宋体" w:hAnsi="宋体"/>
                    <w:szCs w:val="21"/>
                  </w:rPr>
                </w:pPr>
                <w:r>
                  <w:t>25,325,124.54</w:t>
                </w:r>
              </w:p>
            </w:tc>
            <w:tc>
              <w:tcPr>
                <w:tcW w:w="1810" w:type="dxa"/>
              </w:tcPr>
              <w:p>
                <w:pPr>
                  <w:pStyle w:val="90"/>
                  <w:ind w:firstLine="0" w:firstLineChars="0"/>
                  <w:jc w:val="right"/>
                  <w:rPr>
                    <w:rFonts w:ascii="宋体" w:hAnsi="宋体"/>
                    <w:szCs w:val="21"/>
                  </w:rPr>
                </w:pPr>
                <w:r>
                  <w:t>20,604,885.83</w:t>
                </w:r>
              </w:p>
            </w:tc>
            <w:tc>
              <w:tcPr>
                <w:tcW w:w="1985" w:type="dxa"/>
              </w:tcPr>
              <w:p>
                <w:pPr>
                  <w:pStyle w:val="90"/>
                  <w:ind w:firstLine="0" w:firstLineChars="0"/>
                  <w:jc w:val="right"/>
                  <w:rPr>
                    <w:rFonts w:ascii="宋体" w:hAnsi="宋体"/>
                    <w:szCs w:val="21"/>
                  </w:rPr>
                </w:pPr>
                <w: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48b6c19be4461084a37286c6a46673"/>
                <w:id w:val="25153599"/>
                <w:lock w:val="sdtLocked"/>
              </w:sdtPr>
              <w:sdtContent>
                <w:tc>
                  <w:tcPr>
                    <w:tcW w:w="3444" w:type="dxa"/>
                  </w:tcPr>
                  <w:p>
                    <w:pPr>
                      <w:pStyle w:val="90"/>
                      <w:ind w:firstLine="0" w:firstLineChars="0"/>
                      <w:rPr>
                        <w:rFonts w:ascii="宋体" w:hAnsi="宋体"/>
                        <w:szCs w:val="21"/>
                      </w:rPr>
                    </w:pPr>
                    <w:r>
                      <w:rPr>
                        <w:rFonts w:ascii="宋体" w:hAnsi="宋体"/>
                        <w:szCs w:val="21"/>
                      </w:rPr>
                      <w:t>管理费用</w:t>
                    </w:r>
                  </w:p>
                </w:tc>
              </w:sdtContent>
            </w:sdt>
            <w:tc>
              <w:tcPr>
                <w:tcW w:w="1810" w:type="dxa"/>
              </w:tcPr>
              <w:p>
                <w:pPr>
                  <w:pStyle w:val="90"/>
                  <w:ind w:firstLine="0" w:firstLineChars="0"/>
                  <w:jc w:val="right"/>
                  <w:rPr>
                    <w:rFonts w:ascii="宋体" w:hAnsi="宋体"/>
                    <w:szCs w:val="21"/>
                  </w:rPr>
                </w:pPr>
                <w:r>
                  <w:t>306,593,019.99</w:t>
                </w:r>
              </w:p>
            </w:tc>
            <w:tc>
              <w:tcPr>
                <w:tcW w:w="1810" w:type="dxa"/>
              </w:tcPr>
              <w:p>
                <w:pPr>
                  <w:pStyle w:val="90"/>
                  <w:ind w:firstLine="0" w:firstLineChars="0"/>
                  <w:jc w:val="right"/>
                  <w:rPr>
                    <w:rFonts w:ascii="宋体" w:hAnsi="宋体"/>
                    <w:szCs w:val="21"/>
                  </w:rPr>
                </w:pPr>
                <w:r>
                  <w:t>194,440,209.87</w:t>
                </w:r>
              </w:p>
            </w:tc>
            <w:tc>
              <w:tcPr>
                <w:tcW w:w="1985" w:type="dxa"/>
              </w:tcPr>
              <w:p>
                <w:pPr>
                  <w:pStyle w:val="90"/>
                  <w:ind w:firstLine="0" w:firstLineChars="0"/>
                  <w:jc w:val="right"/>
                  <w:rPr>
                    <w:rFonts w:ascii="宋体" w:hAnsi="宋体"/>
                    <w:szCs w:val="21"/>
                  </w:rPr>
                </w:pPr>
                <w:r>
                  <w:t>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989f363470245b8a8044d51af95f876"/>
                <w:id w:val="25153600"/>
                <w:lock w:val="sdtLocked"/>
              </w:sdtPr>
              <w:sdtContent>
                <w:tc>
                  <w:tcPr>
                    <w:tcW w:w="3444" w:type="dxa"/>
                  </w:tcPr>
                  <w:p>
                    <w:pPr>
                      <w:pStyle w:val="90"/>
                      <w:ind w:firstLine="0" w:firstLineChars="0"/>
                      <w:rPr>
                        <w:rFonts w:ascii="宋体" w:hAnsi="宋体"/>
                        <w:szCs w:val="21"/>
                      </w:rPr>
                    </w:pPr>
                    <w:r>
                      <w:rPr>
                        <w:rFonts w:ascii="宋体" w:hAnsi="宋体"/>
                        <w:szCs w:val="21"/>
                      </w:rPr>
                      <w:t>财务费用</w:t>
                    </w:r>
                  </w:p>
                </w:tc>
              </w:sdtContent>
            </w:sdt>
            <w:tc>
              <w:tcPr>
                <w:tcW w:w="1810" w:type="dxa"/>
              </w:tcPr>
              <w:p>
                <w:pPr>
                  <w:pStyle w:val="90"/>
                  <w:ind w:firstLine="0" w:firstLineChars="0"/>
                  <w:jc w:val="right"/>
                  <w:rPr>
                    <w:rFonts w:ascii="宋体" w:hAnsi="宋体"/>
                    <w:szCs w:val="21"/>
                  </w:rPr>
                </w:pPr>
                <w:r>
                  <w:t>163,242,539.35</w:t>
                </w:r>
              </w:p>
            </w:tc>
            <w:tc>
              <w:tcPr>
                <w:tcW w:w="1810" w:type="dxa"/>
              </w:tcPr>
              <w:p>
                <w:pPr>
                  <w:pStyle w:val="90"/>
                  <w:ind w:firstLine="0" w:firstLineChars="0"/>
                  <w:jc w:val="right"/>
                  <w:rPr>
                    <w:rFonts w:ascii="宋体" w:hAnsi="宋体"/>
                    <w:szCs w:val="21"/>
                  </w:rPr>
                </w:pPr>
                <w:r>
                  <w:t>103,275,093.88</w:t>
                </w:r>
              </w:p>
            </w:tc>
            <w:tc>
              <w:tcPr>
                <w:tcW w:w="1985" w:type="dxa"/>
              </w:tcPr>
              <w:p>
                <w:pPr>
                  <w:pStyle w:val="90"/>
                  <w:ind w:firstLine="0" w:firstLineChars="0"/>
                  <w:jc w:val="right"/>
                  <w:rPr>
                    <w:rFonts w:ascii="宋体" w:hAnsi="宋体"/>
                    <w:szCs w:val="21"/>
                  </w:rPr>
                </w:pPr>
                <w:r>
                  <w:t>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652539acb44f708b4f7202c302af4f"/>
                <w:id w:val="25153601"/>
                <w:lock w:val="sdtLocked"/>
              </w:sdtPr>
              <w:sdtContent>
                <w:tc>
                  <w:tcPr>
                    <w:tcW w:w="3444" w:type="dxa"/>
                  </w:tcPr>
                  <w:p>
                    <w:pPr>
                      <w:pStyle w:val="90"/>
                      <w:ind w:firstLine="0" w:firstLineChars="0"/>
                      <w:rPr>
                        <w:rFonts w:ascii="宋体" w:hAnsi="宋体"/>
                        <w:szCs w:val="21"/>
                      </w:rPr>
                    </w:pPr>
                    <w:r>
                      <w:rPr>
                        <w:rFonts w:ascii="宋体" w:hAnsi="宋体"/>
                        <w:szCs w:val="21"/>
                      </w:rPr>
                      <w:t>经营活动产生的现金流量净额</w:t>
                    </w:r>
                  </w:p>
                </w:tc>
              </w:sdtContent>
            </w:sdt>
            <w:tc>
              <w:tcPr>
                <w:tcW w:w="1810" w:type="dxa"/>
              </w:tcPr>
              <w:p>
                <w:pPr>
                  <w:pStyle w:val="90"/>
                  <w:ind w:firstLine="0" w:firstLineChars="0"/>
                  <w:jc w:val="right"/>
                  <w:rPr>
                    <w:rFonts w:ascii="宋体" w:hAnsi="宋体"/>
                    <w:szCs w:val="21"/>
                  </w:rPr>
                </w:pPr>
                <w:r>
                  <w:t>146,084,572.71</w:t>
                </w:r>
              </w:p>
            </w:tc>
            <w:tc>
              <w:tcPr>
                <w:tcW w:w="1810" w:type="dxa"/>
              </w:tcPr>
              <w:p>
                <w:pPr>
                  <w:pStyle w:val="90"/>
                  <w:ind w:firstLine="0" w:firstLineChars="0"/>
                  <w:jc w:val="right"/>
                  <w:rPr>
                    <w:rFonts w:ascii="宋体" w:hAnsi="宋体"/>
                    <w:szCs w:val="21"/>
                  </w:rPr>
                </w:pPr>
                <w:r>
                  <w:t>1,983,553,707.52</w:t>
                </w:r>
              </w:p>
            </w:tc>
            <w:tc>
              <w:tcPr>
                <w:tcW w:w="1985" w:type="dxa"/>
              </w:tcPr>
              <w:p>
                <w:pPr>
                  <w:pStyle w:val="90"/>
                  <w:ind w:firstLine="0" w:firstLineChars="0"/>
                  <w:jc w:val="right"/>
                  <w:rPr>
                    <w:rFonts w:ascii="宋体" w:hAnsi="宋体"/>
                    <w:szCs w:val="21"/>
                  </w:rPr>
                </w:pPr>
                <w:r>
                  <w:t>-92.64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3331660aee640afb46a84edc7e2d2a4"/>
                <w:id w:val="25153602"/>
                <w:lock w:val="sdtLocked"/>
              </w:sdtPr>
              <w:sdtContent>
                <w:tc>
                  <w:tcPr>
                    <w:tcW w:w="3444" w:type="dxa"/>
                  </w:tcPr>
                  <w:p>
                    <w:pPr>
                      <w:pStyle w:val="90"/>
                      <w:ind w:firstLine="0" w:firstLineChars="0"/>
                      <w:rPr>
                        <w:rFonts w:ascii="宋体" w:hAnsi="宋体"/>
                        <w:szCs w:val="21"/>
                      </w:rPr>
                    </w:pPr>
                    <w:r>
                      <w:rPr>
                        <w:rFonts w:ascii="宋体" w:hAnsi="宋体"/>
                        <w:szCs w:val="21"/>
                      </w:rPr>
                      <w:t>投资活动产生的现金流量净额</w:t>
                    </w:r>
                  </w:p>
                </w:tc>
              </w:sdtContent>
            </w:sdt>
            <w:tc>
              <w:tcPr>
                <w:tcW w:w="1810" w:type="dxa"/>
              </w:tcPr>
              <w:p>
                <w:pPr>
                  <w:pStyle w:val="90"/>
                  <w:ind w:firstLine="0" w:firstLineChars="0"/>
                  <w:jc w:val="right"/>
                  <w:rPr>
                    <w:rFonts w:ascii="宋体" w:hAnsi="宋体"/>
                    <w:szCs w:val="21"/>
                  </w:rPr>
                </w:pPr>
                <w:r>
                  <w:t>13,028,342.38</w:t>
                </w:r>
              </w:p>
            </w:tc>
            <w:tc>
              <w:tcPr>
                <w:tcW w:w="1810" w:type="dxa"/>
              </w:tcPr>
              <w:p>
                <w:pPr>
                  <w:pStyle w:val="90"/>
                  <w:ind w:firstLine="0" w:firstLineChars="0"/>
                  <w:jc w:val="right"/>
                  <w:rPr>
                    <w:rFonts w:ascii="宋体" w:hAnsi="宋体"/>
                    <w:szCs w:val="21"/>
                  </w:rPr>
                </w:pPr>
                <w:r>
                  <w:t>1,072,169.33</w:t>
                </w:r>
              </w:p>
            </w:tc>
            <w:tc>
              <w:tcPr>
                <w:tcW w:w="1985" w:type="dxa"/>
              </w:tcPr>
              <w:p>
                <w:pPr>
                  <w:pStyle w:val="90"/>
                  <w:ind w:firstLine="0" w:firstLineChars="0"/>
                  <w:jc w:val="right"/>
                  <w:rPr>
                    <w:rFonts w:ascii="宋体" w:hAnsi="宋体"/>
                    <w:szCs w:val="21"/>
                  </w:rPr>
                </w:pPr>
                <w:r>
                  <w:t>1,115.14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e32eafcb28041f58b5df53597b43172"/>
                <w:id w:val="25153603"/>
                <w:lock w:val="sdtLocked"/>
              </w:sdtPr>
              <w:sdtContent>
                <w:tc>
                  <w:tcPr>
                    <w:tcW w:w="3444" w:type="dxa"/>
                  </w:tcPr>
                  <w:p>
                    <w:pPr>
                      <w:pStyle w:val="90"/>
                      <w:ind w:firstLine="0" w:firstLineChars="0"/>
                      <w:rPr>
                        <w:rFonts w:ascii="宋体" w:hAnsi="宋体"/>
                        <w:szCs w:val="21"/>
                      </w:rPr>
                    </w:pPr>
                    <w:r>
                      <w:rPr>
                        <w:rFonts w:ascii="宋体" w:hAnsi="宋体"/>
                        <w:szCs w:val="21"/>
                      </w:rPr>
                      <w:t>筹资活动产生的现金流量净额</w:t>
                    </w:r>
                  </w:p>
                </w:tc>
              </w:sdtContent>
            </w:sdt>
            <w:tc>
              <w:tcPr>
                <w:tcW w:w="1810" w:type="dxa"/>
              </w:tcPr>
              <w:p>
                <w:pPr>
                  <w:pStyle w:val="90"/>
                  <w:ind w:firstLine="0" w:firstLineChars="0"/>
                  <w:jc w:val="right"/>
                  <w:rPr>
                    <w:rFonts w:ascii="宋体" w:hAnsi="宋体"/>
                    <w:szCs w:val="21"/>
                  </w:rPr>
                </w:pPr>
                <w:r>
                  <w:t>-1,304,467,051.82</w:t>
                </w:r>
              </w:p>
            </w:tc>
            <w:tc>
              <w:tcPr>
                <w:tcW w:w="1810" w:type="dxa"/>
              </w:tcPr>
              <w:p>
                <w:pPr>
                  <w:pStyle w:val="90"/>
                  <w:ind w:firstLine="0" w:firstLineChars="0"/>
                  <w:jc w:val="right"/>
                  <w:rPr>
                    <w:rFonts w:ascii="宋体" w:hAnsi="宋体"/>
                    <w:szCs w:val="21"/>
                  </w:rPr>
                </w:pPr>
                <w:r>
                  <w:t>74,758,271.16</w:t>
                </w:r>
              </w:p>
            </w:tc>
            <w:tc>
              <w:tcPr>
                <w:tcW w:w="1985" w:type="dxa"/>
              </w:tcPr>
              <w:p>
                <w:pPr>
                  <w:pStyle w:val="90"/>
                  <w:ind w:firstLine="0" w:firstLineChars="0"/>
                  <w:jc w:val="right"/>
                  <w:rPr>
                    <w:rFonts w:ascii="宋体" w:hAnsi="宋体"/>
                    <w:szCs w:val="21"/>
                  </w:rPr>
                </w:pPr>
                <w:r>
                  <w:rPr>
                    <w:rFonts w:hint="eastAsia"/>
                  </w:rPr>
                  <w:t>-</w:t>
                </w:r>
                <w:r>
                  <w:t>1,844.91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cf222749bc1410890fe5a12b2759a6b"/>
                <w:id w:val="25153604"/>
                <w:lock w:val="sdtLocked"/>
              </w:sdtPr>
              <w:sdtContent>
                <w:tc>
                  <w:tcPr>
                    <w:tcW w:w="3444" w:type="dxa"/>
                  </w:tcPr>
                  <w:p>
                    <w:pPr>
                      <w:pStyle w:val="90"/>
                      <w:ind w:firstLine="0" w:firstLineChars="0"/>
                      <w:rPr>
                        <w:rFonts w:ascii="宋体" w:hAnsi="宋体"/>
                        <w:szCs w:val="21"/>
                      </w:rPr>
                    </w:pPr>
                    <w:r>
                      <w:rPr>
                        <w:rFonts w:hint="eastAsia" w:ascii="宋体" w:hAnsi="宋体"/>
                        <w:szCs w:val="21"/>
                      </w:rPr>
                      <w:t>研发支出</w:t>
                    </w:r>
                  </w:p>
                </w:tc>
              </w:sdtContent>
            </w:sdt>
            <w:tc>
              <w:tcPr>
                <w:tcW w:w="1810" w:type="dxa"/>
              </w:tcPr>
              <w:p>
                <w:pPr>
                  <w:pStyle w:val="90"/>
                  <w:ind w:firstLine="0" w:firstLineChars="0"/>
                  <w:jc w:val="right"/>
                  <w:rPr>
                    <w:rFonts w:ascii="宋体" w:hAnsi="宋体"/>
                    <w:szCs w:val="21"/>
                  </w:rPr>
                </w:pPr>
                <w:r>
                  <w:t>71,893,267.72</w:t>
                </w:r>
              </w:p>
            </w:tc>
            <w:tc>
              <w:tcPr>
                <w:tcW w:w="1810" w:type="dxa"/>
              </w:tcPr>
              <w:p>
                <w:pPr>
                  <w:pStyle w:val="90"/>
                  <w:ind w:firstLine="0" w:firstLineChars="0"/>
                  <w:jc w:val="right"/>
                  <w:rPr>
                    <w:rFonts w:ascii="宋体" w:hAnsi="宋体"/>
                    <w:szCs w:val="21"/>
                  </w:rPr>
                </w:pPr>
                <w:r>
                  <w:t>22,500,857.74</w:t>
                </w:r>
              </w:p>
            </w:tc>
            <w:tc>
              <w:tcPr>
                <w:tcW w:w="1985" w:type="dxa"/>
              </w:tcPr>
              <w:p>
                <w:pPr>
                  <w:pStyle w:val="90"/>
                  <w:ind w:firstLine="0" w:firstLineChars="0"/>
                  <w:jc w:val="right"/>
                  <w:rPr>
                    <w:rFonts w:ascii="宋体" w:hAnsi="宋体"/>
                    <w:szCs w:val="21"/>
                  </w:rPr>
                </w:pPr>
                <w:r>
                  <w:t>219.51</w:t>
                </w:r>
              </w:p>
            </w:tc>
          </w:tr>
        </w:tbl>
        <w:p>
          <w:pPr>
            <w:pStyle w:val="76"/>
          </w:pPr>
        </w:p>
        <w:p>
          <w:pPr>
            <w:pStyle w:val="90"/>
            <w:ind w:firstLine="0" w:firstLineChars="0"/>
            <w:jc w:val="left"/>
          </w:pPr>
          <w:r>
            <w:rPr>
              <w:rFonts w:hint="eastAsia"/>
            </w:rPr>
            <w:t>营业收入变动原因说明:</w:t>
          </w:r>
          <w:sdt>
            <w:sdtPr>
              <w:rPr>
                <w:rFonts w:ascii="宋体" w:hAnsi="宋体"/>
                <w:szCs w:val="21"/>
              </w:rPr>
              <w:alias w:val="营业收入变动原因说明"/>
              <w:tag w:val="_GBC_f42c61e6c2ef46fe886ea6ecdd4ea15b"/>
              <w:id w:val="25153605"/>
              <w:lock w:val="sdtLocked"/>
              <w:placeholder>
                <w:docPart w:val="GBC22222222222222222222222222222"/>
              </w:placeholder>
            </w:sdtPr>
            <w:sdtEndPr>
              <w:rPr>
                <w:rFonts w:ascii="宋体" w:hAnsi="宋体"/>
                <w:szCs w:val="21"/>
              </w:rPr>
            </w:sdtEndPr>
            <w:sdtContent>
              <w:r>
                <w:rPr>
                  <w:rFonts w:hint="eastAsia" w:ascii="宋体" w:hAnsi="宋体"/>
                  <w:szCs w:val="21"/>
                </w:rPr>
                <w:t>主要是公司产品销量和销售价格同比均有所增长。</w:t>
              </w:r>
            </w:sdtContent>
          </w:sdt>
        </w:p>
        <w:p>
          <w:pPr>
            <w:pStyle w:val="90"/>
            <w:ind w:firstLine="0" w:firstLineChars="0"/>
            <w:jc w:val="left"/>
          </w:pPr>
          <w:r>
            <w:rPr>
              <w:rFonts w:hint="eastAsia"/>
            </w:rPr>
            <w:t>营业成本变动原因说明:</w:t>
          </w:r>
          <w:sdt>
            <w:sdtPr>
              <w:rPr>
                <w:rFonts w:hint="eastAsia"/>
              </w:rPr>
              <w:alias w:val="营业成本变动原因说明"/>
              <w:tag w:val="_GBC_4ab47071f9844da58abe164f6bd272aa"/>
              <w:id w:val="25153606"/>
              <w:lock w:val="sdtLocked"/>
              <w:placeholder>
                <w:docPart w:val="GBC22222222222222222222222222222"/>
              </w:placeholder>
            </w:sdtPr>
            <w:sdtEndPr>
              <w:rPr>
                <w:rFonts w:hint="eastAsia"/>
              </w:rPr>
            </w:sdtEndPr>
            <w:sdtContent>
              <w:r>
                <w:rPr>
                  <w:rFonts w:hint="eastAsia"/>
                </w:rPr>
                <w:t>公司继续实施低成本战略，降成本效果明显。</w:t>
              </w:r>
            </w:sdtContent>
          </w:sdt>
        </w:p>
        <w:p>
          <w:pPr>
            <w:pStyle w:val="90"/>
            <w:ind w:firstLine="0" w:firstLineChars="0"/>
            <w:jc w:val="left"/>
          </w:pPr>
          <w:r>
            <w:rPr>
              <w:rFonts w:hint="eastAsia"/>
            </w:rPr>
            <w:t>销售费用变动原因说明:</w:t>
          </w:r>
          <w:sdt>
            <w:sdtPr>
              <w:rPr>
                <w:rFonts w:hint="eastAsia"/>
              </w:rPr>
              <w:alias w:val="销售费用变动原因说明"/>
              <w:tag w:val="_GBC_d8f3d3236009445ca57b171f1c954fae"/>
              <w:id w:val="25153607"/>
              <w:lock w:val="sdtLocked"/>
              <w:placeholder>
                <w:docPart w:val="GBC22222222222222222222222222222"/>
              </w:placeholder>
            </w:sdtPr>
            <w:sdtEndPr>
              <w:rPr>
                <w:rFonts w:hint="eastAsia"/>
              </w:rPr>
            </w:sdtEndPr>
            <w:sdtContent>
              <w:r>
                <w:rPr>
                  <w:rFonts w:hint="eastAsia"/>
                </w:rPr>
                <w:t>主要是人工成本、运输费同比增加。</w:t>
              </w:r>
            </w:sdtContent>
          </w:sdt>
        </w:p>
        <w:p>
          <w:pPr>
            <w:pStyle w:val="90"/>
            <w:ind w:firstLine="0" w:firstLineChars="0"/>
            <w:jc w:val="left"/>
          </w:pPr>
          <w:r>
            <w:rPr>
              <w:rFonts w:hint="eastAsia"/>
            </w:rPr>
            <w:t>管理费用变动原因说明:</w:t>
          </w:r>
          <w:sdt>
            <w:sdtPr>
              <w:rPr>
                <w:rFonts w:hint="eastAsia"/>
              </w:rPr>
              <w:alias w:val="管理费用变动原因说明"/>
              <w:tag w:val="_GBC_13103bbe23ee4770b17eecdee03d38a1"/>
              <w:id w:val="25153608"/>
              <w:lock w:val="sdtLocked"/>
              <w:placeholder>
                <w:docPart w:val="GBC22222222222222222222222222222"/>
              </w:placeholder>
            </w:sdtPr>
            <w:sdtEndPr>
              <w:rPr>
                <w:rFonts w:hint="eastAsia"/>
              </w:rPr>
            </w:sdtEndPr>
            <w:sdtContent>
              <w:r>
                <w:rPr>
                  <w:rFonts w:hint="eastAsia"/>
                </w:rPr>
                <w:t>主要是人工成本以及研发费同比增加。</w:t>
              </w:r>
            </w:sdtContent>
          </w:sdt>
        </w:p>
        <w:p>
          <w:pPr>
            <w:pStyle w:val="90"/>
            <w:ind w:firstLine="0" w:firstLineChars="0"/>
            <w:jc w:val="left"/>
          </w:pPr>
          <w:r>
            <w:rPr>
              <w:rFonts w:hint="eastAsia"/>
            </w:rPr>
            <w:t>财务费用变动原因说明:</w:t>
          </w:r>
          <w:sdt>
            <w:sdtPr>
              <w:rPr>
                <w:rFonts w:hint="eastAsia"/>
              </w:rPr>
              <w:alias w:val="财务费用变动原因说明"/>
              <w:tag w:val="_GBC_2876360f1d844724b6ba84d6b9756580"/>
              <w:id w:val="25153609"/>
              <w:lock w:val="sdtLocked"/>
              <w:placeholder>
                <w:docPart w:val="GBC22222222222222222222222222222"/>
              </w:placeholder>
            </w:sdtPr>
            <w:sdtEndPr>
              <w:rPr>
                <w:rFonts w:hint="eastAsia"/>
              </w:rPr>
            </w:sdtEndPr>
            <w:sdtContent>
              <w:r>
                <w:rPr>
                  <w:rFonts w:hint="eastAsia"/>
                </w:rPr>
                <w:t>主要是汇兑损失影响，上年同期汇兑净收益9700万元，本年汇兑净损失3800万元，利息支出同比减少6800万元。</w:t>
              </w:r>
            </w:sdtContent>
          </w:sdt>
        </w:p>
        <w:p>
          <w:pPr>
            <w:pStyle w:val="90"/>
            <w:ind w:firstLine="0" w:firstLineChars="0"/>
            <w:jc w:val="left"/>
          </w:pPr>
          <w:r>
            <w:rPr>
              <w:rFonts w:ascii="宋体" w:hAnsi="宋体"/>
              <w:szCs w:val="21"/>
            </w:rPr>
            <w:t>经营活动产生的现金流量净额</w:t>
          </w:r>
          <w:r>
            <w:rPr>
              <w:rFonts w:hint="eastAsia" w:ascii="宋体" w:hAnsi="宋体"/>
              <w:szCs w:val="21"/>
            </w:rPr>
            <w:t>变动原因说明:</w:t>
          </w:r>
          <w:sdt>
            <w:sdtPr>
              <w:rPr>
                <w:rFonts w:hint="eastAsia" w:ascii="宋体" w:hAnsi="宋体"/>
                <w:szCs w:val="21"/>
              </w:rPr>
              <w:alias w:val="经营活动产生的现金流量净额变动原因说明"/>
              <w:tag w:val="_GBC_309323bb8b0046e9bb6afe0231994d50"/>
              <w:id w:val="25153610"/>
              <w:lock w:val="sdtLocked"/>
              <w:placeholder>
                <w:docPart w:val="GBC22222222222222222222222222222"/>
              </w:placeholder>
            </w:sdtPr>
            <w:sdtEndPr>
              <w:rPr>
                <w:rFonts w:hint="eastAsia" w:ascii="宋体" w:hAnsi="宋体"/>
                <w:szCs w:val="21"/>
              </w:rPr>
            </w:sdtEndPr>
            <w:sdtContent>
              <w:r>
                <w:rPr>
                  <w:rFonts w:hint="eastAsia" w:ascii="宋体" w:hAnsi="宋体"/>
                  <w:szCs w:val="21"/>
                </w:rPr>
                <w:t>本年销售回款中银行承兑汇票占比67.93%，同比升高16.67个百分点，影响经营活动产生的现金流量同比大幅减少。</w:t>
              </w:r>
            </w:sdtContent>
          </w:sdt>
        </w:p>
        <w:p>
          <w:pPr>
            <w:pStyle w:val="90"/>
            <w:ind w:firstLine="0" w:firstLineChars="0"/>
            <w:jc w:val="left"/>
          </w:pPr>
          <w:r>
            <w:rPr>
              <w:rFonts w:ascii="宋体" w:hAnsi="宋体"/>
              <w:szCs w:val="21"/>
            </w:rPr>
            <w:t>投资活动产生的现金流量净额</w:t>
          </w:r>
          <w:r>
            <w:rPr>
              <w:rFonts w:hint="eastAsia" w:ascii="宋体" w:hAnsi="宋体"/>
              <w:szCs w:val="21"/>
            </w:rPr>
            <w:t>变动原因说明:</w:t>
          </w:r>
          <w:sdt>
            <w:sdtPr>
              <w:rPr>
                <w:rFonts w:hint="eastAsia" w:ascii="宋体" w:hAnsi="宋体"/>
                <w:szCs w:val="21"/>
              </w:rPr>
              <w:alias w:val="投资活动产生的现金流量净额变动原因说明"/>
              <w:tag w:val="_GBC_981bcb9573814b8080b52fae435fb1b0"/>
              <w:id w:val="25153611"/>
              <w:lock w:val="sdtLocked"/>
              <w:placeholder>
                <w:docPart w:val="GBC22222222222222222222222222222"/>
              </w:placeholder>
            </w:sdtPr>
            <w:sdtEndPr>
              <w:rPr>
                <w:rFonts w:hint="eastAsia" w:ascii="宋体" w:hAnsi="宋体"/>
                <w:szCs w:val="21"/>
              </w:rPr>
            </w:sdtEndPr>
            <w:sdtContent>
              <w:r>
                <w:rPr>
                  <w:rFonts w:hint="eastAsia" w:ascii="宋体" w:hAnsi="宋体"/>
                  <w:szCs w:val="21"/>
                </w:rPr>
                <w:t>主要是本年减少交易性金融资产投资，逐步收回上年投资款。</w:t>
              </w:r>
            </w:sdtContent>
          </w:sdt>
        </w:p>
        <w:p>
          <w:pPr>
            <w:pStyle w:val="90"/>
            <w:ind w:firstLine="0" w:firstLineChars="0"/>
            <w:jc w:val="left"/>
          </w:pPr>
          <w:r>
            <w:rPr>
              <w:rFonts w:ascii="宋体" w:hAnsi="宋体"/>
              <w:szCs w:val="21"/>
            </w:rPr>
            <w:t>筹资活动产生的现金流量净额</w:t>
          </w:r>
          <w:r>
            <w:rPr>
              <w:rFonts w:hint="eastAsia" w:ascii="宋体" w:hAnsi="宋体"/>
              <w:szCs w:val="21"/>
            </w:rPr>
            <w:t>变动原因说明:</w:t>
          </w:r>
          <w:sdt>
            <w:sdtPr>
              <w:rPr>
                <w:rFonts w:hint="eastAsia" w:ascii="宋体" w:hAnsi="宋体"/>
                <w:szCs w:val="21"/>
              </w:rPr>
              <w:alias w:val="筹资活动产生的现金流量净额变动原因说明"/>
              <w:tag w:val="_GBC_900a9d8acfac4ec18a35c4034161c13e"/>
              <w:id w:val="25153612"/>
              <w:lock w:val="sdtLocked"/>
              <w:placeholder>
                <w:docPart w:val="GBC22222222222222222222222222222"/>
              </w:placeholder>
            </w:sdtPr>
            <w:sdtEndPr>
              <w:rPr>
                <w:rFonts w:hint="eastAsia" w:ascii="宋体" w:hAnsi="宋体"/>
                <w:szCs w:val="21"/>
              </w:rPr>
            </w:sdtEndPr>
            <w:sdtContent>
              <w:r>
                <w:rPr>
                  <w:rFonts w:hint="eastAsia" w:ascii="宋体" w:hAnsi="宋体"/>
                  <w:szCs w:val="21"/>
                </w:rPr>
                <w:t>主要是公司缩减对外融资规模以及支付上年现金股利影响。</w:t>
              </w:r>
            </w:sdtContent>
          </w:sdt>
        </w:p>
        <w:p>
          <w:pPr>
            <w:pStyle w:val="90"/>
            <w:ind w:firstLine="0" w:firstLineChars="0"/>
            <w:jc w:val="left"/>
          </w:pPr>
          <w:r>
            <w:rPr>
              <w:rFonts w:hint="eastAsia" w:ascii="宋体" w:hAnsi="宋体"/>
              <w:szCs w:val="21"/>
            </w:rPr>
            <w:t>研发支出变动原因说明:</w:t>
          </w:r>
          <w:sdt>
            <w:sdtPr>
              <w:rPr>
                <w:rFonts w:hint="eastAsia" w:ascii="宋体" w:hAnsi="宋体"/>
                <w:szCs w:val="21"/>
              </w:rPr>
              <w:alias w:val="研发支出变动原因说明"/>
              <w:tag w:val="_GBC_d97ef8c9f3104c79a0cb766d1bbf5352"/>
              <w:id w:val="25153613"/>
              <w:lock w:val="sdtLocked"/>
              <w:placeholder>
                <w:docPart w:val="GBC22222222222222222222222222222"/>
              </w:placeholder>
            </w:sdtPr>
            <w:sdtEndPr>
              <w:rPr>
                <w:rFonts w:hint="eastAsia" w:ascii="宋体" w:hAnsi="宋体"/>
                <w:szCs w:val="21"/>
              </w:rPr>
            </w:sdtEndPr>
            <w:sdtContent>
              <w:r>
                <w:rPr>
                  <w:rFonts w:hint="eastAsia" w:ascii="宋体" w:hAnsi="宋体"/>
                  <w:szCs w:val="21"/>
                </w:rPr>
                <w:t>主要是公司加大技术创新力度，研发项目、研发量同比大幅增加。</w:t>
              </w:r>
            </w:sdtContent>
          </w:sdt>
        </w:p>
      </w:sdtContent>
    </w:sdt>
    <w:p>
      <w:pPr>
        <w:pStyle w:val="80"/>
        <w:numPr>
          <w:ilvl w:val="0"/>
          <w:numId w:val="8"/>
        </w:numPr>
      </w:pPr>
      <w:bookmarkStart w:id="20" w:name="_Toc342559755"/>
      <w:bookmarkStart w:id="21" w:name="_Toc342565903"/>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25153616"/>
        <w:lock w:val="sdtLocked"/>
        <w:placeholder>
          <w:docPart w:val="GBC22222222222222222222222222222"/>
        </w:placeholder>
      </w:sdtPr>
      <w:sdtEndPr>
        <w:rPr>
          <w:rFonts w:hint="eastAsia" w:ascii="宋体" w:hAnsi="宋体" w:cs="宋体"/>
          <w:b w:val="0"/>
          <w:bCs w:val="0"/>
          <w:kern w:val="0"/>
          <w:szCs w:val="24"/>
        </w:rPr>
      </w:sdtEndPr>
      <w:sdtContent>
        <w:p>
          <w:pPr>
            <w:pStyle w:val="81"/>
            <w:numPr>
              <w:ilvl w:val="0"/>
              <w:numId w:val="9"/>
            </w:numPr>
          </w:pPr>
          <w:r>
            <w:t>公司利润构成或利润来源发生重大变动的详细说明</w:t>
          </w:r>
        </w:p>
        <w:sdt>
          <w:sdtPr>
            <w:alias w:val="是否适用：公司利润构成或利润来源发生重大变动的详细说明[双击切换]"/>
            <w:tag w:val="_GBC_cf62b49cb7b54052a77aa6c4ec7218c8"/>
            <w:id w:val="2515361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ascii="宋体" w:hAnsi="宋体" w:cs="宋体"/>
          <w:b w:val="0"/>
          <w:bCs w:val="0"/>
          <w:kern w:val="0"/>
          <w:szCs w:val="22"/>
        </w:rPr>
        <w:alias w:val="模块:主营业务其他项目说明"/>
        <w:tag w:val="_GBC_6e5fe080dde8462ca9fa8c7bae6ec617"/>
        <w:id w:val="25153618"/>
        <w:lock w:val="sdtLocked"/>
        <w:placeholder>
          <w:docPart w:val="GBC22222222222222222222222222222"/>
        </w:placeholder>
      </w:sdtPr>
      <w:sdtEndPr>
        <w:rPr>
          <w:rFonts w:hint="eastAsia" w:ascii="宋体" w:hAnsi="宋体" w:cs="宋体"/>
          <w:b w:val="0"/>
          <w:bCs w:val="0"/>
          <w:kern w:val="0"/>
          <w:szCs w:val="24"/>
        </w:rPr>
      </w:sdtEndPr>
      <w:sdtContent>
        <w:p>
          <w:pPr>
            <w:pStyle w:val="81"/>
            <w:numPr>
              <w:ilvl w:val="0"/>
              <w:numId w:val="9"/>
            </w:numPr>
          </w:pPr>
          <w:r>
            <w:t>其他</w:t>
          </w:r>
        </w:p>
        <w:sdt>
          <w:sdtPr>
            <w:alias w:val="是否适用：主营业务其他项目的其他说明[双击切换]"/>
            <w:tag w:val="_GBC_3b36f261ce9e41a5bec5415813cc43fa"/>
            <w:id w:val="2515361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hint="eastAsia" w:ascii="宋体" w:hAnsi="宋体" w:cs="宋体"/>
          <w:b w:val="0"/>
          <w:bCs w:val="0"/>
          <w:kern w:val="0"/>
          <w:szCs w:val="24"/>
        </w:rPr>
        <w:alias w:val="模块:非主营业务导致利润重大变化的说明"/>
        <w:tag w:val="_SEC_8eca3e31ebef41f0bccb8c1e5fae0579"/>
        <w:id w:val="25153620"/>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7"/>
            </w:numPr>
          </w:pPr>
          <w:r>
            <w:t>非主营业务导致利润重大变化的说明</w:t>
          </w:r>
        </w:p>
        <w:sdt>
          <w:sdtPr>
            <w:rPr>
              <w:rFonts w:hint="eastAsia"/>
            </w:rPr>
            <w:alias w:val="是否适用：非主营业务来源分析[双击切换]"/>
            <w:tag w:val="_GBC_45f0580c6f114551af0270412b25ccd0"/>
            <w:id w:val="25153619"/>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9"/>
        <w:numPr>
          <w:ilvl w:val="0"/>
          <w:numId w:val="7"/>
        </w:numPr>
        <w:rPr>
          <w:szCs w:val="21"/>
        </w:rPr>
      </w:pPr>
      <w:r>
        <w:rPr>
          <w:szCs w:val="21"/>
        </w:rPr>
        <w:t>资产、负债情况分析</w:t>
      </w:r>
    </w:p>
    <w:p>
      <w:pPr>
        <w:pStyle w:val="76"/>
      </w:pPr>
      <w:sdt>
        <w:sdtPr>
          <w:rPr>
            <w:rFonts w:hint="eastAsia"/>
          </w:rPr>
          <w:alias w:val="是否适用：资产、负债情况分析[双击切换]"/>
          <w:tag w:val="_GBC_7e768f46f428417e8696bff3cfaf9902"/>
          <w:id w:val="25153621"/>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6223798588db4238825d68a423f52705"/>
        <w:id w:val="25153647"/>
        <w:lock w:val="sdtLocked"/>
        <w:placeholder>
          <w:docPart w:val="GBC22222222222222222222222222222"/>
        </w:placeholder>
      </w:sdtPr>
      <w:sdtEndPr>
        <w:rPr>
          <w:rFonts w:ascii="宋体" w:hAnsi="宋体" w:cs="宋体"/>
          <w:b w:val="0"/>
          <w:bCs w:val="0"/>
          <w:kern w:val="0"/>
          <w:szCs w:val="21"/>
        </w:rPr>
      </w:sdtEndPr>
      <w:sdtContent>
        <w:p>
          <w:pPr>
            <w:pStyle w:val="80"/>
            <w:numPr>
              <w:ilvl w:val="0"/>
              <w:numId w:val="10"/>
            </w:numPr>
            <w:rPr>
              <w:b w:val="0"/>
            </w:rPr>
          </w:pPr>
          <w:r>
            <w:t>资产</w:t>
          </w:r>
          <w:r>
            <w:rPr>
              <w:rFonts w:hint="eastAsia"/>
            </w:rPr>
            <w:t>及</w:t>
          </w:r>
          <w:r>
            <w:t>负债</w:t>
          </w:r>
          <w:r>
            <w:rPr>
              <w:rFonts w:hint="eastAsia"/>
              <w:szCs w:val="21"/>
            </w:rPr>
            <w:t>状</w:t>
          </w:r>
          <w:r>
            <w:rPr>
              <w:szCs w:val="21"/>
            </w:rPr>
            <w:t>况</w:t>
          </w:r>
        </w:p>
        <w:p>
          <w:pPr>
            <w:pStyle w:val="76"/>
            <w:jc w:val="right"/>
            <w:rPr>
              <w:szCs w:val="21"/>
            </w:rPr>
          </w:pPr>
          <w:r>
            <w:rPr>
              <w:rFonts w:hint="eastAsia"/>
              <w:szCs w:val="21"/>
            </w:rPr>
            <w:t>单位：</w:t>
          </w:r>
          <w:sdt>
            <w:sdtPr>
              <w:rPr>
                <w:rFonts w:hint="eastAsia"/>
                <w:szCs w:val="21"/>
              </w:rPr>
              <w:alias w:val="单位：资产负债状况分析"/>
              <w:tag w:val="_GBC_21de4e2184d94baf8e19137a1d0d5b74"/>
              <w:id w:val="251536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万元</w:t>
              </w:r>
            </w:sdtContent>
          </w:sdt>
        </w:p>
        <w:tbl>
          <w:tblPr>
            <w:tblStyle w:val="74"/>
            <w:tblW w:w="1006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988"/>
            <w:gridCol w:w="1137"/>
            <w:gridCol w:w="1276"/>
            <w:gridCol w:w="1274"/>
            <w:gridCol w:w="1417"/>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sdt>
              <w:sdtPr>
                <w:rPr>
                  <w:rFonts w:ascii="Times New Roman" w:hAnsi="Times New Roman"/>
                  <w:sz w:val="18"/>
                  <w:szCs w:val="18"/>
                </w:rPr>
                <w:tag w:val="_PLD_d0f356a255cd4ad2a1d809f43b17afe4"/>
                <w:id w:val="25153623"/>
                <w:lock w:val="sdtLocked"/>
              </w:sdtPr>
              <w:sdtEndPr>
                <w:rPr>
                  <w:rFonts w:ascii="Times New Roman" w:hAnsi="Times New Roman"/>
                  <w:sz w:val="18"/>
                  <w:szCs w:val="18"/>
                </w:rPr>
              </w:sdtEndPr>
              <w:sdtContent>
                <w:tc>
                  <w:tcPr>
                    <w:tcW w:w="1567" w:type="dxa"/>
                    <w:vAlign w:val="center"/>
                  </w:tcPr>
                  <w:p>
                    <w:pPr>
                      <w:pStyle w:val="76"/>
                      <w:widowControl w:val="0"/>
                      <w:jc w:val="center"/>
                      <w:rPr>
                        <w:rStyle w:val="42"/>
                        <w:sz w:val="18"/>
                        <w:szCs w:val="18"/>
                      </w:rPr>
                    </w:pPr>
                    <w:r>
                      <w:rPr>
                        <w:sz w:val="18"/>
                        <w:szCs w:val="18"/>
                      </w:rPr>
                      <w:t>项目名称</w:t>
                    </w:r>
                  </w:p>
                </w:tc>
              </w:sdtContent>
            </w:sdt>
            <w:sdt>
              <w:sdtPr>
                <w:rPr>
                  <w:rFonts w:ascii="Times New Roman" w:hAnsi="Times New Roman"/>
                  <w:sz w:val="18"/>
                  <w:szCs w:val="18"/>
                </w:rPr>
                <w:tag w:val="_PLD_908740cf286747d79d5abbe407fef2b5"/>
                <w:id w:val="25153624"/>
                <w:lock w:val="sdtLocked"/>
              </w:sdtPr>
              <w:sdtEndPr>
                <w:rPr>
                  <w:rFonts w:ascii="Times New Roman" w:hAnsi="Times New Roman"/>
                  <w:sz w:val="18"/>
                  <w:szCs w:val="18"/>
                </w:rPr>
              </w:sdtEndPr>
              <w:sdtContent>
                <w:tc>
                  <w:tcPr>
                    <w:tcW w:w="988" w:type="dxa"/>
                    <w:vAlign w:val="center"/>
                  </w:tcPr>
                  <w:p>
                    <w:pPr>
                      <w:pStyle w:val="76"/>
                      <w:widowControl w:val="0"/>
                      <w:jc w:val="center"/>
                      <w:rPr>
                        <w:rStyle w:val="42"/>
                        <w:sz w:val="18"/>
                        <w:szCs w:val="18"/>
                      </w:rPr>
                    </w:pPr>
                    <w:r>
                      <w:rPr>
                        <w:sz w:val="18"/>
                        <w:szCs w:val="18"/>
                      </w:rPr>
                      <w:t>本期期末数</w:t>
                    </w:r>
                  </w:p>
                </w:tc>
              </w:sdtContent>
            </w:sdt>
            <w:sdt>
              <w:sdtPr>
                <w:rPr>
                  <w:rFonts w:ascii="Times New Roman" w:hAnsi="Times New Roman"/>
                  <w:sz w:val="18"/>
                  <w:szCs w:val="18"/>
                </w:rPr>
                <w:tag w:val="_PLD_329bbbc9fa484c0990e705c4343b8bd2"/>
                <w:id w:val="25153625"/>
                <w:lock w:val="sdtLocked"/>
              </w:sdtPr>
              <w:sdtEndPr>
                <w:rPr>
                  <w:rFonts w:ascii="Times New Roman" w:hAnsi="Times New Roman"/>
                  <w:sz w:val="18"/>
                  <w:szCs w:val="18"/>
                </w:rPr>
              </w:sdtEndPr>
              <w:sdtContent>
                <w:tc>
                  <w:tcPr>
                    <w:tcW w:w="1137" w:type="dxa"/>
                    <w:vAlign w:val="center"/>
                  </w:tcPr>
                  <w:p>
                    <w:pPr>
                      <w:pStyle w:val="76"/>
                      <w:widowControl w:val="0"/>
                      <w:jc w:val="center"/>
                      <w:rPr>
                        <w:rStyle w:val="42"/>
                        <w:sz w:val="18"/>
                        <w:szCs w:val="18"/>
                      </w:rPr>
                    </w:pPr>
                    <w:r>
                      <w:rPr>
                        <w:sz w:val="18"/>
                        <w:szCs w:val="18"/>
                      </w:rPr>
                      <w:t>本期期末数占总资产的比例（%）</w:t>
                    </w:r>
                  </w:p>
                </w:tc>
              </w:sdtContent>
            </w:sdt>
            <w:sdt>
              <w:sdtPr>
                <w:rPr>
                  <w:rFonts w:ascii="Times New Roman" w:hAnsi="Times New Roman"/>
                  <w:sz w:val="18"/>
                  <w:szCs w:val="18"/>
                </w:rPr>
                <w:tag w:val="_PLD_56ec8d815a204f39816e77d18cf2ac7e"/>
                <w:id w:val="25153626"/>
                <w:lock w:val="sdtLocked"/>
              </w:sdtPr>
              <w:sdtEndPr>
                <w:rPr>
                  <w:rFonts w:ascii="Times New Roman" w:hAnsi="Times New Roman"/>
                  <w:sz w:val="18"/>
                  <w:szCs w:val="18"/>
                </w:rPr>
              </w:sdtEndPr>
              <w:sdtContent>
                <w:tc>
                  <w:tcPr>
                    <w:tcW w:w="1276" w:type="dxa"/>
                    <w:vAlign w:val="center"/>
                  </w:tcPr>
                  <w:p>
                    <w:pPr>
                      <w:pStyle w:val="76"/>
                      <w:widowControl w:val="0"/>
                      <w:jc w:val="center"/>
                      <w:rPr>
                        <w:rStyle w:val="42"/>
                        <w:sz w:val="18"/>
                        <w:szCs w:val="18"/>
                      </w:rPr>
                    </w:pPr>
                    <w:r>
                      <w:rPr>
                        <w:sz w:val="18"/>
                        <w:szCs w:val="18"/>
                      </w:rPr>
                      <w:t>上期期末数</w:t>
                    </w:r>
                  </w:p>
                </w:tc>
              </w:sdtContent>
            </w:sdt>
            <w:sdt>
              <w:sdtPr>
                <w:rPr>
                  <w:rFonts w:ascii="Times New Roman" w:hAnsi="Times New Roman"/>
                  <w:sz w:val="18"/>
                  <w:szCs w:val="18"/>
                </w:rPr>
                <w:tag w:val="_PLD_4bc2806364aa476db7b5ac96d585ad18"/>
                <w:id w:val="25153627"/>
                <w:lock w:val="sdtLocked"/>
              </w:sdtPr>
              <w:sdtEndPr>
                <w:rPr>
                  <w:rFonts w:ascii="Times New Roman" w:hAnsi="Times New Roman"/>
                  <w:sz w:val="18"/>
                  <w:szCs w:val="18"/>
                </w:rPr>
              </w:sdtEndPr>
              <w:sdtContent>
                <w:tc>
                  <w:tcPr>
                    <w:tcW w:w="1274" w:type="dxa"/>
                    <w:vAlign w:val="center"/>
                  </w:tcPr>
                  <w:p>
                    <w:pPr>
                      <w:pStyle w:val="76"/>
                      <w:widowControl w:val="0"/>
                      <w:jc w:val="center"/>
                      <w:rPr>
                        <w:rStyle w:val="42"/>
                        <w:sz w:val="18"/>
                        <w:szCs w:val="18"/>
                      </w:rPr>
                    </w:pPr>
                    <w:r>
                      <w:rPr>
                        <w:sz w:val="18"/>
                        <w:szCs w:val="18"/>
                      </w:rPr>
                      <w:t>上期期末数占总资产的比例（%）</w:t>
                    </w:r>
                  </w:p>
                </w:tc>
              </w:sdtContent>
            </w:sdt>
            <w:sdt>
              <w:sdtPr>
                <w:rPr>
                  <w:rFonts w:ascii="Times New Roman" w:hAnsi="Times New Roman"/>
                  <w:sz w:val="18"/>
                  <w:szCs w:val="18"/>
                </w:rPr>
                <w:tag w:val="_PLD_4cfcbfaae8d94f2d87cb33b122df7a82"/>
                <w:id w:val="25153628"/>
                <w:lock w:val="sdtLocked"/>
              </w:sdtPr>
              <w:sdtEndPr>
                <w:rPr>
                  <w:rFonts w:ascii="Times New Roman" w:hAnsi="Times New Roman"/>
                  <w:sz w:val="18"/>
                  <w:szCs w:val="18"/>
                </w:rPr>
              </w:sdtEndPr>
              <w:sdtContent>
                <w:tc>
                  <w:tcPr>
                    <w:tcW w:w="1417" w:type="dxa"/>
                    <w:vAlign w:val="center"/>
                  </w:tcPr>
                  <w:p>
                    <w:pPr>
                      <w:pStyle w:val="76"/>
                      <w:widowControl w:val="0"/>
                      <w:jc w:val="center"/>
                      <w:rPr>
                        <w:rStyle w:val="42"/>
                        <w:sz w:val="18"/>
                        <w:szCs w:val="18"/>
                      </w:rPr>
                    </w:pPr>
                    <w:r>
                      <w:rPr>
                        <w:sz w:val="18"/>
                        <w:szCs w:val="18"/>
                      </w:rPr>
                      <w:t>本期期末金额较上期期末变动比例（%）</w:t>
                    </w:r>
                  </w:p>
                </w:tc>
              </w:sdtContent>
            </w:sdt>
            <w:sdt>
              <w:sdtPr>
                <w:rPr>
                  <w:rFonts w:ascii="Times New Roman" w:hAnsi="Times New Roman"/>
                  <w:sz w:val="18"/>
                  <w:szCs w:val="18"/>
                </w:rPr>
                <w:tag w:val="_PLD_2acc4b359fa846d5bfb9939daf2ce46b"/>
                <w:id w:val="25153629"/>
                <w:lock w:val="sdtLocked"/>
              </w:sdtPr>
              <w:sdtEndPr>
                <w:rPr>
                  <w:rFonts w:ascii="Times New Roman" w:hAnsi="Times New Roman"/>
                  <w:sz w:val="18"/>
                  <w:szCs w:val="18"/>
                </w:rPr>
              </w:sdtEndPr>
              <w:sdtContent>
                <w:tc>
                  <w:tcPr>
                    <w:tcW w:w="2405" w:type="dxa"/>
                    <w:vAlign w:val="center"/>
                  </w:tcPr>
                  <w:p>
                    <w:pPr>
                      <w:pStyle w:val="76"/>
                      <w:widowControl w:val="0"/>
                      <w:jc w:val="center"/>
                      <w:rPr>
                        <w:rStyle w:val="42"/>
                        <w:sz w:val="18"/>
                        <w:szCs w:val="18"/>
                      </w:rPr>
                    </w:pPr>
                    <w:r>
                      <w:rPr>
                        <w:sz w:val="18"/>
                        <w:szCs w:val="18"/>
                      </w:rPr>
                      <w:t>情况说明</w:t>
                    </w:r>
                  </w:p>
                </w:tc>
              </w:sdtContent>
            </w:sdt>
          </w:tr>
          <w:sdt>
            <w:sdtPr>
              <w:rPr>
                <w:rStyle w:val="42"/>
                <w:rFonts w:ascii="Arial Narrow" w:hAnsi="Arial Narrow"/>
                <w:b w:val="0"/>
                <w:sz w:val="18"/>
                <w:szCs w:val="18"/>
              </w:rPr>
              <w:alias w:val="资产负债状况分析"/>
              <w:tag w:val="_TUP_5b9451a24cf94bb19fcd924892517ec7"/>
              <w:id w:val="25153630"/>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货币资金</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178,355.79</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7.29</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311,464.14</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13.50</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-42.74</w:t>
                    </w:r>
                  </w:p>
                </w:tc>
                <w:tc>
                  <w:tcPr>
                    <w:tcW w:w="2405" w:type="dxa"/>
                    <w:vMerge w:val="restart"/>
                    <w:vAlign w:val="center"/>
                  </w:tcPr>
                  <w:p>
                    <w:pPr>
                      <w:pStyle w:val="76"/>
                      <w:widowControl w:val="0"/>
                      <w:jc w:val="left"/>
                      <w:rPr>
                        <w:rStyle w:val="42"/>
                        <w:b w:val="0"/>
                        <w:sz w:val="18"/>
                        <w:szCs w:val="18"/>
                      </w:rPr>
                    </w:pPr>
                    <w:r>
                      <w:rPr>
                        <w:rStyle w:val="42"/>
                        <w:rFonts w:hint="eastAsia"/>
                        <w:b w:val="0"/>
                        <w:sz w:val="18"/>
                        <w:szCs w:val="18"/>
                      </w:rPr>
                      <w:t>主要是公司销售回款中承兑汇票占比升高以及支付2017年现金股利</w:t>
                    </w:r>
                  </w:p>
                </w:tc>
              </w:tr>
            </w:sdtContent>
          </w:sdt>
          <w:sdt>
            <w:sdtPr>
              <w:rPr>
                <w:rStyle w:val="42"/>
                <w:rFonts w:ascii="Arial Narrow" w:hAnsi="Arial Narrow"/>
                <w:b w:val="0"/>
                <w:sz w:val="18"/>
                <w:szCs w:val="18"/>
              </w:rPr>
              <w:alias w:val="资产负债状况分析"/>
              <w:tag w:val="_TUP_5b9451a24cf94bb19fcd924892517ec7"/>
              <w:id w:val="25153631"/>
              <w:lock w:val="sdtLocked"/>
            </w:sdtPr>
            <w:sdtEndPr>
              <w:rPr>
                <w:rStyle w:val="32"/>
                <w:rFonts w:ascii="Arial Narrow" w:hAnsi="Arial Narrow"/>
                <w:b w:val="0"/>
                <w:bCs w:val="0"/>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应收票据</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723,401.93</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29.58</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392,918.54</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17.03</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84.11</w:t>
                    </w:r>
                  </w:p>
                </w:tc>
                <w:tc>
                  <w:tcPr>
                    <w:tcW w:w="2405" w:type="dxa"/>
                    <w:vMerge w:val="continue"/>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32"/>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应收账款</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29,251.09</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1.20</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23,863.18</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1.03</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22.58</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33"/>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预付款项</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40,409.38</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1.65</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74,504.33</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3.23</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-45.76</w:t>
                    </w:r>
                  </w:p>
                </w:tc>
                <w:tc>
                  <w:tcPr>
                    <w:tcW w:w="2405" w:type="dxa"/>
                  </w:tcPr>
                  <w:p>
                    <w:pPr>
                      <w:pStyle w:val="76"/>
                      <w:widowControl w:val="0"/>
                      <w:jc w:val="both"/>
                      <w:rPr>
                        <w:rStyle w:val="42"/>
                        <w:b w:val="0"/>
                        <w:sz w:val="18"/>
                        <w:szCs w:val="18"/>
                      </w:rPr>
                    </w:pPr>
                    <w:r>
                      <w:rPr>
                        <w:rStyle w:val="42"/>
                        <w:rFonts w:hint="eastAsia"/>
                        <w:b w:val="0"/>
                        <w:sz w:val="18"/>
                        <w:szCs w:val="18"/>
                      </w:rPr>
                      <w:t>主要是前期采购陆续结算</w:t>
                    </w:r>
                  </w:p>
                </w:tc>
              </w:tr>
            </w:sdtContent>
          </w:sdt>
          <w:sdt>
            <w:sdtPr>
              <w:rPr>
                <w:rStyle w:val="42"/>
                <w:rFonts w:ascii="Arial Narrow" w:hAnsi="Arial Narrow"/>
                <w:b w:val="0"/>
                <w:sz w:val="18"/>
                <w:szCs w:val="18"/>
              </w:rPr>
              <w:alias w:val="资产负债状况分析"/>
              <w:tag w:val="_TUP_5b9451a24cf94bb19fcd924892517ec7"/>
              <w:id w:val="25153634"/>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其他应收款</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1,798.81</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0.07</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1,041.41</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0.05</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72.73</w:t>
                    </w:r>
                  </w:p>
                </w:tc>
                <w:tc>
                  <w:tcPr>
                    <w:tcW w:w="2405" w:type="dxa"/>
                  </w:tcPr>
                  <w:p>
                    <w:pPr>
                      <w:pStyle w:val="76"/>
                      <w:widowControl w:val="0"/>
                      <w:jc w:val="both"/>
                      <w:rPr>
                        <w:rStyle w:val="42"/>
                        <w:b w:val="0"/>
                        <w:sz w:val="18"/>
                        <w:szCs w:val="18"/>
                      </w:rPr>
                    </w:pPr>
                    <w:r>
                      <w:rPr>
                        <w:rStyle w:val="42"/>
                        <w:rFonts w:hint="eastAsia"/>
                        <w:b w:val="0"/>
                        <w:sz w:val="18"/>
                        <w:szCs w:val="18"/>
                      </w:rPr>
                      <w:t>主要是代垫运费减少</w:t>
                    </w:r>
                  </w:p>
                </w:tc>
              </w:tr>
            </w:sdtContent>
          </w:sdt>
          <w:sdt>
            <w:sdtPr>
              <w:rPr>
                <w:rStyle w:val="42"/>
                <w:rFonts w:ascii="Arial Narrow" w:hAnsi="Arial Narrow"/>
                <w:b w:val="0"/>
                <w:sz w:val="18"/>
                <w:szCs w:val="18"/>
              </w:rPr>
              <w:alias w:val="资产负债状况分析"/>
              <w:tag w:val="_TUP_5b9451a24cf94bb19fcd924892517ec7"/>
              <w:id w:val="25153635"/>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存货</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475,470.76</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19.44</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476,940.54</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20.67</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-0.31</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36"/>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其他流动资产</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2,197.15</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0.09</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20.50</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0.00</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10,617.80</w:t>
                    </w:r>
                  </w:p>
                </w:tc>
                <w:tc>
                  <w:tcPr>
                    <w:tcW w:w="2405" w:type="dxa"/>
                  </w:tcPr>
                  <w:p>
                    <w:pPr>
                      <w:pStyle w:val="76"/>
                      <w:widowControl w:val="0"/>
                      <w:jc w:val="both"/>
                      <w:rPr>
                        <w:rStyle w:val="42"/>
                        <w:b w:val="0"/>
                        <w:sz w:val="18"/>
                        <w:szCs w:val="18"/>
                      </w:rPr>
                    </w:pPr>
                    <w:r>
                      <w:rPr>
                        <w:rStyle w:val="42"/>
                        <w:rFonts w:hint="eastAsia"/>
                        <w:b w:val="0"/>
                        <w:sz w:val="18"/>
                        <w:szCs w:val="18"/>
                      </w:rPr>
                      <w:t>全部为留抵的增值税</w:t>
                    </w:r>
                  </w:p>
                </w:tc>
              </w:tr>
            </w:sdtContent>
          </w:sdt>
          <w:sdt>
            <w:sdtPr>
              <w:rPr>
                <w:rStyle w:val="42"/>
                <w:rFonts w:ascii="Arial Narrow" w:hAnsi="Arial Narrow"/>
                <w:b w:val="0"/>
                <w:sz w:val="18"/>
                <w:szCs w:val="18"/>
              </w:rPr>
              <w:alias w:val="资产负债状况分析"/>
              <w:tag w:val="_TUP_5b9451a24cf94bb19fcd924892517ec7"/>
              <w:id w:val="25153637"/>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固定资产</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933,982.35</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38.19</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977,504.86</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42.36</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-4.45</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38"/>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在建工程</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51,727.28</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2.12</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38,287.33</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1.66</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35.10</w:t>
                    </w:r>
                  </w:p>
                </w:tc>
                <w:tc>
                  <w:tcPr>
                    <w:tcW w:w="2405" w:type="dxa"/>
                  </w:tcPr>
                  <w:p>
                    <w:pPr>
                      <w:pStyle w:val="76"/>
                      <w:widowControl w:val="0"/>
                      <w:jc w:val="both"/>
                      <w:rPr>
                        <w:rStyle w:val="42"/>
                        <w:b w:val="0"/>
                        <w:sz w:val="18"/>
                        <w:szCs w:val="18"/>
                      </w:rPr>
                    </w:pPr>
                    <w:r>
                      <w:rPr>
                        <w:rStyle w:val="42"/>
                        <w:rFonts w:hint="eastAsia"/>
                        <w:b w:val="0"/>
                        <w:sz w:val="18"/>
                        <w:szCs w:val="18"/>
                      </w:rPr>
                      <w:t>主要是公司加大生产、环保设备投入</w:t>
                    </w:r>
                  </w:p>
                </w:tc>
              </w:tr>
            </w:sdtContent>
          </w:sdt>
          <w:sdt>
            <w:sdtPr>
              <w:rPr>
                <w:rStyle w:val="42"/>
                <w:rFonts w:ascii="Arial Narrow" w:hAnsi="Arial Narrow"/>
                <w:b w:val="0"/>
                <w:sz w:val="18"/>
                <w:szCs w:val="18"/>
              </w:rPr>
              <w:alias w:val="资产负债状况分析"/>
              <w:tag w:val="_TUP_5b9451a24cf94bb19fcd924892517ec7"/>
              <w:id w:val="25153639"/>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递延所得税资产</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5,339.43</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0.22</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5,339.43</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0.23</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                 -  </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40"/>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短期借款</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700,509.11</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28.65</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672,087.59</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29.13</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4.23</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41"/>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应付票据</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106,400.00</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4.35</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237,620.00</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10.30</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-55.22</w:t>
                    </w:r>
                  </w:p>
                </w:tc>
                <w:tc>
                  <w:tcPr>
                    <w:tcW w:w="2405" w:type="dxa"/>
                  </w:tcPr>
                  <w:p>
                    <w:pPr>
                      <w:pStyle w:val="76"/>
                      <w:widowControl w:val="0"/>
                      <w:jc w:val="both"/>
                      <w:rPr>
                        <w:rStyle w:val="42"/>
                        <w:b w:val="0"/>
                        <w:sz w:val="18"/>
                        <w:szCs w:val="18"/>
                      </w:rPr>
                    </w:pPr>
                    <w:r>
                      <w:rPr>
                        <w:rStyle w:val="42"/>
                        <w:rFonts w:hint="eastAsia"/>
                        <w:b w:val="0"/>
                        <w:sz w:val="18"/>
                        <w:szCs w:val="18"/>
                      </w:rPr>
                      <w:t>主要是公司票据到期兑付</w:t>
                    </w:r>
                  </w:p>
                </w:tc>
              </w:tr>
            </w:sdtContent>
          </w:sdt>
          <w:sdt>
            <w:sdtPr>
              <w:rPr>
                <w:rStyle w:val="42"/>
                <w:rFonts w:ascii="Arial Narrow" w:hAnsi="Arial Narrow"/>
                <w:b w:val="0"/>
                <w:sz w:val="18"/>
                <w:szCs w:val="18"/>
              </w:rPr>
              <w:alias w:val="资产负债状况分析"/>
              <w:tag w:val="_TUP_5b9451a24cf94bb19fcd924892517ec7"/>
              <w:id w:val="25153642"/>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应付账款</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498,507.31</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20.38</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325,152.56</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14.09</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53.31</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43"/>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预收款项</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84,934.34</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3.47</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111,760.12</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4.84</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-24.00</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44"/>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应付职工薪酬</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9,110.16</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0.37</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8,285.08</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0.36</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9.96</w:t>
                    </w:r>
                  </w:p>
                </w:tc>
                <w:tc>
                  <w:tcPr>
                    <w:tcW w:w="2405" w:type="dxa"/>
                  </w:tcPr>
                  <w:p>
                    <w:pPr>
                      <w:pStyle w:val="76"/>
                      <w:widowControl w:val="0"/>
                      <w:jc w:val="both"/>
                      <w:rPr>
                        <w:rStyle w:val="42"/>
                        <w:b w:val="0"/>
                        <w:sz w:val="18"/>
                        <w:szCs w:val="18"/>
                      </w:rPr>
                    </w:pPr>
                  </w:p>
                </w:tc>
              </w:tr>
            </w:sdtContent>
          </w:sdt>
          <w:sdt>
            <w:sdtPr>
              <w:rPr>
                <w:rStyle w:val="42"/>
                <w:rFonts w:ascii="Arial Narrow" w:hAnsi="Arial Narrow"/>
                <w:b w:val="0"/>
                <w:sz w:val="18"/>
                <w:szCs w:val="18"/>
              </w:rPr>
              <w:alias w:val="资产负债状况分析"/>
              <w:tag w:val="_TUP_5b9451a24cf94bb19fcd924892517ec7"/>
              <w:id w:val="25153645"/>
              <w:lock w:val="sdtLocked"/>
            </w:sdtPr>
            <w:sdtEndPr>
              <w:rPr>
                <w:rStyle w:val="42"/>
                <w:rFonts w:hint="eastAsia" w:ascii="宋体" w:hAnsi="宋体"/>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67" w:type="dxa"/>
                    <w:vAlign w:val="center"/>
                  </w:tcPr>
                  <w:p>
                    <w:pPr>
                      <w:pStyle w:val="76"/>
                      <w:widowControl w:val="0"/>
                      <w:jc w:val="both"/>
                      <w:rPr>
                        <w:rStyle w:val="42"/>
                        <w:rFonts w:ascii="Arial Narrow" w:hAnsi="Arial Narrow"/>
                        <w:b w:val="0"/>
                        <w:sz w:val="18"/>
                        <w:szCs w:val="18"/>
                      </w:rPr>
                    </w:pPr>
                    <w:r>
                      <w:rPr>
                        <w:rFonts w:ascii="Arial Narrow" w:hAnsi="Arial Narrow"/>
                        <w:sz w:val="18"/>
                        <w:szCs w:val="18"/>
                      </w:rPr>
                      <w:t>应交税费</w:t>
                    </w:r>
                  </w:p>
                </w:tc>
                <w:tc>
                  <w:tcPr>
                    <w:tcW w:w="988"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45,726.92</w:t>
                    </w:r>
                  </w:p>
                </w:tc>
                <w:tc>
                  <w:tcPr>
                    <w:tcW w:w="113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1.87</w:t>
                    </w:r>
                  </w:p>
                </w:tc>
                <w:tc>
                  <w:tcPr>
                    <w:tcW w:w="1276"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51,032.43</w:t>
                    </w:r>
                  </w:p>
                </w:tc>
                <w:tc>
                  <w:tcPr>
                    <w:tcW w:w="1274"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2.21</w:t>
                    </w:r>
                  </w:p>
                </w:tc>
                <w:tc>
                  <w:tcPr>
                    <w:tcW w:w="1417" w:type="dxa"/>
                    <w:vAlign w:val="center"/>
                  </w:tcPr>
                  <w:p>
                    <w:pPr>
                      <w:pStyle w:val="76"/>
                      <w:widowControl w:val="0"/>
                      <w:jc w:val="right"/>
                      <w:rPr>
                        <w:rStyle w:val="42"/>
                        <w:rFonts w:ascii="Arial Narrow" w:hAnsi="Arial Narrow"/>
                        <w:b w:val="0"/>
                        <w:sz w:val="18"/>
                        <w:szCs w:val="18"/>
                      </w:rPr>
                    </w:pPr>
                    <w:r>
                      <w:rPr>
                        <w:rFonts w:ascii="Arial Narrow" w:hAnsi="Arial Narrow"/>
                        <w:sz w:val="18"/>
                        <w:szCs w:val="18"/>
                      </w:rPr>
                      <w:t>-10.40</w:t>
                    </w:r>
                  </w:p>
                </w:tc>
                <w:tc>
                  <w:tcPr>
                    <w:tcW w:w="2405" w:type="dxa"/>
                  </w:tcPr>
                  <w:p>
                    <w:pPr>
                      <w:pStyle w:val="76"/>
                      <w:widowControl w:val="0"/>
                      <w:jc w:val="both"/>
                      <w:rPr>
                        <w:rStyle w:val="42"/>
                        <w:b w:val="0"/>
                        <w:sz w:val="18"/>
                        <w:szCs w:val="18"/>
                      </w:rPr>
                    </w:pPr>
                  </w:p>
                </w:tc>
              </w:tr>
            </w:sdtContent>
          </w:sdt>
        </w:tbl>
        <w:p>
          <w:pPr>
            <w:pStyle w:val="76"/>
            <w:rPr>
              <w:szCs w:val="21"/>
            </w:rPr>
          </w:pPr>
        </w:p>
      </w:sdtContent>
    </w:sdt>
    <w:p>
      <w:pPr>
        <w:pStyle w:val="76"/>
        <w:rPr>
          <w:szCs w:val="21"/>
        </w:rPr>
      </w:pPr>
    </w:p>
    <w:sdt>
      <w:sdtPr>
        <w:rPr>
          <w:rFonts w:ascii="宋体" w:hAnsi="宋体" w:cs="宋体"/>
          <w:b w:val="0"/>
          <w:bCs w:val="0"/>
          <w:kern w:val="0"/>
          <w:szCs w:val="21"/>
        </w:rPr>
        <w:alias w:val="模块:截至报告期末主要资产受限情"/>
        <w:tag w:val="_SEC_390cddc4349f46b4bcccd468c3e69d14"/>
        <w:id w:val="25153650"/>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10"/>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25153648"/>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25153649"/>
            <w:lock w:val="sdtLocked"/>
            <w:placeholder>
              <w:docPart w:val="GBC22222222222222222222222222222"/>
            </w:placeholder>
          </w:sdtPr>
          <w:sdtEndPr>
            <w:rPr>
              <w:szCs w:val="24"/>
            </w:rPr>
          </w:sdtEndPr>
          <w:sdtContent>
            <w:p>
              <w:pPr>
                <w:pStyle w:val="76"/>
                <w:rPr>
                  <w:szCs w:val="21"/>
                </w:rPr>
              </w:pPr>
            </w:p>
            <w:tbl>
              <w:tblPr>
                <w:tblStyle w:val="75"/>
                <w:tblW w:w="90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6"/>
                <w:gridCol w:w="184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pStyle w:val="76"/>
                      <w:jc w:val="center"/>
                      <w:rPr>
                        <w:rFonts w:ascii="Arial Narrow" w:hAnsi="Arial Narrow" w:cs="Arial Narrow"/>
                      </w:rPr>
                    </w:pPr>
                    <w:r>
                      <w:rPr>
                        <w:rFonts w:hint="eastAsia" w:ascii="Arial Narrow" w:hAnsi="Arial Narrow"/>
                      </w:rPr>
                      <w:t>项目</w:t>
                    </w:r>
                  </w:p>
                </w:tc>
                <w:tc>
                  <w:tcPr>
                    <w:tcW w:w="1842" w:type="dxa"/>
                  </w:tcPr>
                  <w:p>
                    <w:pPr>
                      <w:pStyle w:val="76"/>
                      <w:jc w:val="center"/>
                      <w:rPr>
                        <w:rFonts w:ascii="Arial Narrow" w:hAnsi="Arial Narrow" w:cs="Arial Narrow"/>
                      </w:rPr>
                    </w:pPr>
                    <w:r>
                      <w:rPr>
                        <w:rFonts w:hint="eastAsia" w:ascii="Arial Narrow" w:hAnsi="Arial Narrow"/>
                      </w:rPr>
                      <w:t>期末账面价值（元）</w:t>
                    </w:r>
                  </w:p>
                </w:tc>
                <w:tc>
                  <w:tcPr>
                    <w:tcW w:w="5670" w:type="dxa"/>
                  </w:tcPr>
                  <w:p>
                    <w:pPr>
                      <w:pStyle w:val="76"/>
                      <w:jc w:val="center"/>
                      <w:rPr>
                        <w:rFonts w:ascii="Arial Narrow" w:hAnsi="Arial Narrow" w:cs="Arial Narrow"/>
                      </w:rPr>
                    </w:pPr>
                    <w:r>
                      <w:rPr>
                        <w:rFonts w:hint="eastAsia" w:ascii="Arial Narrow" w:hAnsi="Arial Narrow"/>
                      </w:rPr>
                      <w:t>受限原因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pStyle w:val="76"/>
                      <w:rPr>
                        <w:rFonts w:ascii="Arial Narrow" w:hAnsi="Arial Narrow" w:cs="Arial Narrow"/>
                      </w:rPr>
                    </w:pPr>
                    <w:r>
                      <w:rPr>
                        <w:rFonts w:hint="eastAsia" w:ascii="Arial Narrow" w:hAnsi="Arial Narrow"/>
                      </w:rPr>
                      <w:t>货币资金</w:t>
                    </w:r>
                  </w:p>
                </w:tc>
                <w:tc>
                  <w:tcPr>
                    <w:tcW w:w="1842" w:type="dxa"/>
                    <w:vAlign w:val="center"/>
                  </w:tcPr>
                  <w:p>
                    <w:pPr>
                      <w:pStyle w:val="76"/>
                      <w:ind w:right="630"/>
                      <w:jc w:val="right"/>
                      <w:rPr>
                        <w:rFonts w:ascii="Arial Narrow" w:hAnsi="Arial Narrow"/>
                      </w:rPr>
                    </w:pPr>
                    <w:r>
                      <w:rPr>
                        <w:rFonts w:ascii="Arial Narrow" w:hAnsi="Arial Narrow"/>
                      </w:rPr>
                      <w:t>90,322,256.61</w:t>
                    </w:r>
                  </w:p>
                </w:tc>
                <w:tc>
                  <w:tcPr>
                    <w:tcW w:w="5670" w:type="dxa"/>
                    <w:vAlign w:val="center"/>
                  </w:tcPr>
                  <w:p>
                    <w:pPr>
                      <w:pStyle w:val="76"/>
                      <w:rPr>
                        <w:rFonts w:ascii="Arial Narrow" w:hAnsi="Arial Narrow"/>
                        <w:sz w:val="18"/>
                        <w:szCs w:val="18"/>
                      </w:rPr>
                    </w:pPr>
                    <w:r>
                      <w:rPr>
                        <w:rFonts w:ascii="Arial Narrow" w:hAnsi="Arial Narrow"/>
                        <w:sz w:val="18"/>
                        <w:szCs w:val="18"/>
                      </w:rPr>
                      <w:t>信用证保证金、银行承兑汇票保证金、贷款保证金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pStyle w:val="76"/>
                      <w:rPr>
                        <w:rFonts w:ascii="Arial Narrow" w:hAnsi="Arial Narrow" w:cs="Arial Narrow"/>
                      </w:rPr>
                    </w:pPr>
                    <w:r>
                      <w:rPr>
                        <w:rFonts w:hint="eastAsia" w:ascii="Arial Narrow" w:hAnsi="Arial Narrow"/>
                      </w:rPr>
                      <w:t>固定资产</w:t>
                    </w:r>
                  </w:p>
                </w:tc>
                <w:tc>
                  <w:tcPr>
                    <w:tcW w:w="1842" w:type="dxa"/>
                    <w:vAlign w:val="center"/>
                  </w:tcPr>
                  <w:p>
                    <w:pPr>
                      <w:pStyle w:val="76"/>
                      <w:ind w:right="525"/>
                      <w:jc w:val="right"/>
                      <w:rPr>
                        <w:rFonts w:ascii="Arial Narrow" w:hAnsi="Arial Narrow"/>
                      </w:rPr>
                    </w:pPr>
                    <w:r>
                      <w:rPr>
                        <w:rFonts w:ascii="Arial Narrow" w:hAnsi="Arial Narrow"/>
                      </w:rPr>
                      <w:t>649,078,477.11</w:t>
                    </w:r>
                  </w:p>
                </w:tc>
                <w:tc>
                  <w:tcPr>
                    <w:tcW w:w="5670" w:type="dxa"/>
                  </w:tcPr>
                  <w:p>
                    <w:pPr>
                      <w:pStyle w:val="76"/>
                      <w:rPr>
                        <w:rFonts w:ascii="Arial Narrow" w:hAnsi="Arial Narrow"/>
                      </w:rPr>
                    </w:pPr>
                    <w:r>
                      <w:rPr>
                        <w:rFonts w:ascii="Arial Narrow" w:hAnsi="Arial Narrow"/>
                      </w:rPr>
                      <w:t>借款抵押的固定资产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vAlign w:val="center"/>
                  </w:tcPr>
                  <w:p>
                    <w:pPr>
                      <w:pStyle w:val="76"/>
                      <w:jc w:val="center"/>
                      <w:rPr>
                        <w:rFonts w:ascii="Arial Narrow" w:hAnsi="Arial Narrow" w:cs="Arial Narrow"/>
                      </w:rPr>
                    </w:pPr>
                    <w:r>
                      <w:rPr>
                        <w:rFonts w:hint="eastAsia" w:ascii="Arial Narrow" w:hAnsi="Arial Narrow"/>
                      </w:rPr>
                      <w:t>合计</w:t>
                    </w:r>
                  </w:p>
                </w:tc>
                <w:tc>
                  <w:tcPr>
                    <w:tcW w:w="1842" w:type="dxa"/>
                    <w:vAlign w:val="center"/>
                  </w:tcPr>
                  <w:p>
                    <w:pPr>
                      <w:pStyle w:val="76"/>
                      <w:ind w:right="420"/>
                      <w:rPr>
                        <w:rFonts w:ascii="Arial Narrow" w:hAnsi="Arial Narrow"/>
                      </w:rPr>
                    </w:pPr>
                    <w:r>
                      <w:rPr>
                        <w:rFonts w:hint="eastAsia" w:ascii="Arial Narrow" w:hAnsi="Arial Narrow"/>
                      </w:rPr>
                      <w:t>739,400,733.72</w:t>
                    </w:r>
                  </w:p>
                </w:tc>
                <w:tc>
                  <w:tcPr>
                    <w:tcW w:w="5670" w:type="dxa"/>
                  </w:tcPr>
                  <w:p>
                    <w:pPr>
                      <w:pStyle w:val="76"/>
                      <w:jc w:val="center"/>
                    </w:pPr>
                    <w:r>
                      <w:rPr>
                        <w:rFonts w:hint="eastAsia"/>
                      </w:rPr>
                      <w:t>/</w:t>
                    </w:r>
                  </w:p>
                </w:tc>
              </w:tr>
            </w:tbl>
            <w:p>
              <w:pPr>
                <w:pStyle w:val="76"/>
              </w:pPr>
            </w:p>
          </w:sdtContent>
        </w:sdt>
      </w:sdtContent>
    </w:sdt>
    <w:p>
      <w:pPr>
        <w:pStyle w:val="76"/>
        <w:rPr>
          <w:szCs w:val="21"/>
        </w:rPr>
      </w:pPr>
    </w:p>
    <w:sdt>
      <w:sdtPr>
        <w:rPr>
          <w:rFonts w:ascii="宋体" w:hAnsi="宋体" w:cs="宋体"/>
          <w:b w:val="0"/>
          <w:bCs w:val="0"/>
          <w:kern w:val="0"/>
          <w:szCs w:val="21"/>
        </w:rPr>
        <w:alias w:val="模块:其他说明"/>
        <w:tag w:val="_SEC_a3069c29080242b4a4de48db80a4164e"/>
        <w:id w:val="25153652"/>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10"/>
            </w:numPr>
            <w:rPr>
              <w:szCs w:val="21"/>
            </w:rPr>
          </w:pPr>
          <w:r>
            <w:rPr>
              <w:szCs w:val="21"/>
            </w:rPr>
            <w:t>其他说明</w:t>
          </w:r>
        </w:p>
        <w:sdt>
          <w:sdtPr>
            <w:rPr>
              <w:rFonts w:hint="eastAsia"/>
              <w:szCs w:val="21"/>
            </w:rPr>
            <w:alias w:val="是否适用：资产及负债状况的其他说明[双击切换]"/>
            <w:tag w:val="_GBC_ba674147d80648fba521aedf33ce0b27"/>
            <w:id w:val="2515365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p>
      <w:pPr>
        <w:pStyle w:val="79"/>
        <w:numPr>
          <w:ilvl w:val="0"/>
          <w:numId w:val="7"/>
        </w:numPr>
      </w:pPr>
      <w:r>
        <w:rPr>
          <w:rFonts w:hint="eastAsia"/>
        </w:rPr>
        <w:t>投资状况分析</w:t>
      </w:r>
    </w:p>
    <w:p>
      <w:pPr>
        <w:pStyle w:val="80"/>
        <w:numPr>
          <w:ilvl w:val="0"/>
          <w:numId w:val="11"/>
        </w:numPr>
      </w:pPr>
      <w:r>
        <w:t>对外股权投资总体分析</w:t>
      </w:r>
    </w:p>
    <w:sdt>
      <w:sdtPr>
        <w:alias w:val="模块:对外股权投资总体分析"/>
        <w:tag w:val="_SEC_e7a08c655c9844a8b5127e2ae800064c"/>
        <w:id w:val="25153655"/>
        <w:lock w:val="sdtLocked"/>
        <w:placeholder>
          <w:docPart w:val="GBC22222222222222222222222222222"/>
        </w:placeholder>
      </w:sdtPr>
      <w:sdtEndPr>
        <w:rPr>
          <w:rFonts w:hint="eastAsia" w:asciiTheme="minorEastAsia" w:hAnsiTheme="minorEastAsia" w:eastAsiaTheme="minorEastAsia"/>
        </w:rPr>
      </w:sdtEndPr>
      <w:sdtContent>
        <w:sdt>
          <w:sdtPr>
            <w:alias w:val="是否适用：对外股权投资总体分析[双击切换]"/>
            <w:tag w:val="_GBC_d1852fb41d2a420f9f1d78c35235341a"/>
            <w:id w:val="2515365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对外股权投资总体分析"/>
            <w:tag w:val="_GBC_cef6637b11fc44ed960eb269931b50e8"/>
            <w:id w:val="25153654"/>
            <w:lock w:val="sdtLocked"/>
            <w:placeholder>
              <w:docPart w:val="GBC22222222222222222222222222222"/>
            </w:placeholder>
          </w:sdtPr>
          <w:sdtContent>
            <w:p>
              <w:pPr>
                <w:pStyle w:val="76"/>
              </w:pPr>
              <w:r>
                <w:t>2014年12月22日公司第五届董事会第十六次会议审议通过以35%的股权参与设立桂林仙源健康产业股份有限公司的提案。截止201</w:t>
              </w:r>
              <w:r>
                <w:rPr>
                  <w:rFonts w:hint="eastAsia"/>
                </w:rPr>
                <w:t>8</w:t>
              </w:r>
              <w:r>
                <w:t>年</w:t>
              </w:r>
              <w:r>
                <w:rPr>
                  <w:rFonts w:hint="eastAsia"/>
                </w:rPr>
                <w:t>6</w:t>
              </w:r>
              <w:r>
                <w:t>月</w:t>
              </w:r>
              <w:r>
                <w:rPr>
                  <w:rFonts w:hint="eastAsia"/>
                </w:rPr>
                <w:t>30</w:t>
              </w:r>
              <w:r>
                <w:t>日，本公司实际出资</w:t>
              </w:r>
              <w:r>
                <w:rPr>
                  <w:rFonts w:hint="eastAsia"/>
                </w:rPr>
                <w:t>420</w:t>
              </w:r>
              <w:r>
                <w:t>万元，占仙源公司实收资本</w:t>
              </w:r>
              <w:r>
                <w:rPr>
                  <w:rFonts w:hint="eastAsia"/>
                </w:rPr>
                <w:t>32.31</w:t>
              </w:r>
              <w:r>
                <w:t>%。由于本公司没有控制该公司，按照权益法进行核算。</w:t>
              </w:r>
            </w:p>
          </w:sdtContent>
        </w:sdt>
        <w:p>
          <w:pPr>
            <w:pStyle w:val="76"/>
            <w:rPr>
              <w:rFonts w:asciiTheme="minorEastAsia" w:hAnsiTheme="minorEastAsia" w:eastAsiaTheme="minorEastAsia"/>
            </w:rPr>
          </w:pPr>
        </w:p>
      </w:sdtContent>
    </w:sdt>
    <w:sdt>
      <w:sdtPr>
        <w:rPr>
          <w:rFonts w:hint="eastAsia" w:ascii="宋体" w:hAnsi="宋体" w:cs="宋体"/>
          <w:b w:val="0"/>
          <w:bCs w:val="0"/>
          <w:kern w:val="0"/>
          <w:szCs w:val="21"/>
        </w:rPr>
        <w:alias w:val="模块:重大的股权投资"/>
        <w:tag w:val="_SEC_72e4a7e3254a45e8898d094084d31b27"/>
        <w:id w:val="25153657"/>
        <w:lock w:val="sdtLocked"/>
        <w:placeholder>
          <w:docPart w:val="GBC22222222222222222222222222222"/>
        </w:placeholder>
      </w:sdtPr>
      <w:sdtEndPr>
        <w:rPr>
          <w:rFonts w:hint="eastAsia" w:ascii="宋体" w:hAnsi="宋体" w:cs="宋体"/>
          <w:b w:val="0"/>
          <w:bCs w:val="0"/>
          <w:kern w:val="0"/>
          <w:szCs w:val="24"/>
        </w:rPr>
      </w:sdtEndPr>
      <w:sdtContent>
        <w:p>
          <w:pPr>
            <w:pStyle w:val="81"/>
            <w:numPr>
              <w:ilvl w:val="0"/>
              <w:numId w:val="12"/>
            </w:numPr>
            <w:rPr>
              <w:szCs w:val="21"/>
            </w:rPr>
          </w:pPr>
          <w:r>
            <w:rPr>
              <w:rFonts w:hint="eastAsia"/>
              <w:szCs w:val="21"/>
            </w:rPr>
            <w:t>重大的股权投资</w:t>
          </w:r>
        </w:p>
        <w:sdt>
          <w:sdtPr>
            <w:rPr>
              <w:rFonts w:hint="eastAsia"/>
            </w:rPr>
            <w:alias w:val="是否适用：重大的股权投资[双击切换]"/>
            <w:tag w:val="_GBC_f8bfa224d9f34f9e99e6f78de51aa576"/>
            <w:id w:val="25153656"/>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ascii="宋体" w:hAnsi="宋体" w:cs="宋体"/>
          <w:b w:val="0"/>
          <w:bCs w:val="0"/>
          <w:kern w:val="0"/>
          <w:szCs w:val="21"/>
        </w:rPr>
        <w:alias w:val="模块:重大的非股权投资"/>
        <w:tag w:val="_SEC_ac9932f6d2bb4e35b86dbcc496bca6c4"/>
        <w:id w:val="25153659"/>
        <w:lock w:val="sdtLocked"/>
        <w:placeholder>
          <w:docPart w:val="GBC22222222222222222222222222222"/>
        </w:placeholder>
      </w:sdtPr>
      <w:sdtEndPr>
        <w:rPr>
          <w:rFonts w:hint="eastAsia" w:ascii="宋体" w:hAnsi="宋体" w:cs="宋体"/>
          <w:b w:val="0"/>
          <w:bCs w:val="0"/>
          <w:kern w:val="0"/>
          <w:szCs w:val="24"/>
        </w:rPr>
      </w:sdtEndPr>
      <w:sdtContent>
        <w:p>
          <w:pPr>
            <w:pStyle w:val="81"/>
            <w:numPr>
              <w:ilvl w:val="0"/>
              <w:numId w:val="12"/>
            </w:numPr>
            <w:rPr>
              <w:szCs w:val="21"/>
            </w:rPr>
          </w:pPr>
          <w:r>
            <w:rPr>
              <w:rFonts w:hint="eastAsia"/>
              <w:szCs w:val="21"/>
            </w:rPr>
            <w:t>重大的非股权投资</w:t>
          </w:r>
        </w:p>
        <w:sdt>
          <w:sdtPr>
            <w:rPr>
              <w:rFonts w:hint="eastAsia"/>
            </w:rPr>
            <w:alias w:val="是否适用：重大的非股权投资[双击切换]"/>
            <w:tag w:val="_GBC_ea7fdcb7583549f38c0db41e73af0a8b"/>
            <w:id w:val="25153658"/>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ascii="宋体" w:hAnsi="宋体" w:cs="宋体"/>
          <w:b w:val="0"/>
          <w:bCs w:val="0"/>
          <w:kern w:val="0"/>
          <w:szCs w:val="21"/>
        </w:rPr>
        <w:alias w:val="模块:以公允价值计量的金融资产"/>
        <w:tag w:val="_SEC_e1149f3e433f42c9895dce036b5525db"/>
        <w:id w:val="25153661"/>
        <w:lock w:val="sdtLocked"/>
        <w:placeholder>
          <w:docPart w:val="GBC22222222222222222222222222222"/>
        </w:placeholder>
      </w:sdtPr>
      <w:sdtEndPr>
        <w:rPr>
          <w:rFonts w:hint="eastAsia" w:ascii="宋体" w:hAnsi="宋体" w:cs="宋体"/>
          <w:b w:val="0"/>
          <w:bCs w:val="0"/>
          <w:kern w:val="0"/>
          <w:szCs w:val="21"/>
        </w:rPr>
      </w:sdtEndPr>
      <w:sdtContent>
        <w:p>
          <w:pPr>
            <w:pStyle w:val="81"/>
            <w:numPr>
              <w:ilvl w:val="0"/>
              <w:numId w:val="12"/>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25153660"/>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p>
      <w:pPr>
        <w:pStyle w:val="76"/>
        <w:rPr>
          <w:rFonts w:asciiTheme="minorEastAsia" w:hAnsiTheme="minorEastAsia" w:eastAsiaTheme="minorEastAsia"/>
        </w:rPr>
      </w:pPr>
    </w:p>
    <w:sdt>
      <w:sdtPr>
        <w:rPr>
          <w:rFonts w:cs="宋体" w:asciiTheme="minorEastAsia" w:hAnsiTheme="minorEastAsia" w:eastAsiaTheme="minorEastAsia"/>
          <w:b w:val="0"/>
          <w:bCs w:val="0"/>
          <w:kern w:val="0"/>
          <w:szCs w:val="24"/>
        </w:rPr>
        <w:alias w:val="模块:重大资产和股权出售"/>
        <w:tag w:val="_SEC_04b9238e9d184f1bab78bd58a24f46ef"/>
        <w:id w:val="25153663"/>
        <w:lock w:val="sdtLocked"/>
        <w:placeholder>
          <w:docPart w:val="GBC22222222222222222222222222222"/>
        </w:placeholder>
      </w:sdtPr>
      <w:sdtEndPr>
        <w:rPr>
          <w:rFonts w:hint="eastAsia" w:cs="宋体" w:asciiTheme="minorEastAsia" w:hAnsiTheme="minorEastAsia" w:eastAsiaTheme="minorEastAsia"/>
          <w:b w:val="0"/>
          <w:bCs w:val="0"/>
          <w:kern w:val="0"/>
          <w:szCs w:val="24"/>
        </w:rPr>
      </w:sdtEndPr>
      <w:sdtContent>
        <w:p>
          <w:pPr>
            <w:pStyle w:val="79"/>
            <w:numPr>
              <w:ilvl w:val="0"/>
              <w:numId w:val="7"/>
            </w:numPr>
            <w:rPr>
              <w:rFonts w:asciiTheme="minorEastAsia" w:hAnsiTheme="minorEastAsia" w:eastAsiaTheme="minorEastAsia"/>
            </w:rPr>
          </w:pPr>
          <w:r>
            <w:rPr>
              <w:rFonts w:asciiTheme="minorEastAsia" w:hAnsiTheme="minorEastAsia" w:eastAsiaTheme="minorEastAsia"/>
            </w:rPr>
            <w:t>重大资产和股权出售</w:t>
          </w:r>
        </w:p>
        <w:sdt>
          <w:sdtPr>
            <w:rPr>
              <w:rFonts w:hint="eastAsia" w:asciiTheme="minorEastAsia" w:hAnsiTheme="minorEastAsia" w:eastAsiaTheme="minorEastAsia"/>
            </w:rPr>
            <w:alias w:val="是否适用：重大资产和股权出售[双击切换]"/>
            <w:tag w:val="_GBC_f566f251245e49238092032f065852be"/>
            <w:id w:val="25153662"/>
            <w:lock w:val="sdtContentLocked"/>
            <w:placeholder>
              <w:docPart w:val="GBC22222222222222222222222222222"/>
            </w:placeholder>
          </w:sdtPr>
          <w:sdtEndPr>
            <w:rPr>
              <w:rFonts w:hint="eastAsia" w:asciiTheme="minorEastAsia" w:hAnsiTheme="minorEastAsia" w:eastAsiaTheme="minorEastAsia"/>
            </w:rPr>
          </w:sdtEndPr>
          <w:sdtContent>
            <w:p>
              <w:pPr>
                <w:pStyle w:val="76"/>
                <w:rPr>
                  <w:rFonts w:asciiTheme="minorEastAsia" w:hAnsiTheme="minorEastAsia" w:eastAsia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asciiTheme="minorEastAsia" w:hAnsiTheme="minorEastAsia" w:eastAsiaTheme="minorEastAsia"/>
        </w:rPr>
      </w:pPr>
    </w:p>
    <w:sdt>
      <w:sdtPr>
        <w:rPr>
          <w:rFonts w:ascii="宋体" w:hAnsi="宋体" w:cs="宋体"/>
          <w:b w:val="0"/>
          <w:bCs w:val="0"/>
          <w:kern w:val="0"/>
          <w:szCs w:val="22"/>
        </w:rPr>
        <w:alias w:val="模块:主要控股参股公司分析"/>
        <w:tag w:val="_SEC_2a2bbe84e5b044d9b42284613cdb120d"/>
        <w:id w:val="25153666"/>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7"/>
            </w:numPr>
          </w:pPr>
          <w:r>
            <w:rPr>
              <w:rFonts w:hint="eastAsia"/>
            </w:rPr>
            <w:t>主要控股</w:t>
          </w:r>
          <w:r>
            <w:rPr>
              <w:rFonts w:hint="eastAsia" w:asciiTheme="minorEastAsia" w:hAnsiTheme="minorEastAsia" w:eastAsiaTheme="minorEastAsia"/>
            </w:rPr>
            <w:t>参股</w:t>
          </w:r>
          <w:r>
            <w:rPr>
              <w:rFonts w:hint="eastAsia"/>
            </w:rPr>
            <w:t>公司分析</w:t>
          </w:r>
        </w:p>
        <w:sdt>
          <w:sdtPr>
            <w:alias w:val="是否适用：主要控股参股公司分析[双击切换]"/>
            <w:tag w:val="_GBC_3f3bd67865a44413bcd1143c0df7558d"/>
            <w:id w:val="251536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主要子公司、参股公司分析"/>
            <w:tag w:val="_GBC_839e73df2f5d460cbcde577c1623d15c"/>
            <w:id w:val="25153665"/>
            <w:lock w:val="sdtLocked"/>
            <w:placeholder>
              <w:docPart w:val="GBC22222222222222222222222222222"/>
            </w:placeholder>
          </w:sdtPr>
          <w:sdtEndPr>
            <w:rPr>
              <w:rFonts w:hint="eastAsia"/>
            </w:rPr>
          </w:sdtEndPr>
          <w:sdtContent>
            <w:p>
              <w:pPr>
                <w:pStyle w:val="76"/>
              </w:pPr>
              <w:r>
                <w:rPr>
                  <w:rFonts w:hint="eastAsia"/>
                </w:rPr>
                <w:t>参股公司桂林仙源健康产业股份有限公司于</w:t>
              </w:r>
              <w:r>
                <w:t>2017年下半年开始试营业，主营养老机构投资、老人陪护服务、健康管理咨询等业务。本报告期末，仙源公司资产总额</w:t>
              </w:r>
              <w:r>
                <w:rPr>
                  <w:rFonts w:hint="eastAsia"/>
                </w:rPr>
                <w:t>1175.28</w:t>
              </w:r>
              <w:r>
                <w:t>万元，净资产</w:t>
              </w:r>
              <w:r>
                <w:rPr>
                  <w:rFonts w:hint="eastAsia"/>
                </w:rPr>
                <w:t>1128.86</w:t>
              </w:r>
              <w:r>
                <w:t>万元，201</w:t>
              </w:r>
              <w:r>
                <w:rPr>
                  <w:rFonts w:hint="eastAsia"/>
                </w:rPr>
                <w:t>8</w:t>
              </w:r>
              <w:r>
                <w:t>年</w:t>
              </w:r>
              <w:r>
                <w:rPr>
                  <w:rFonts w:hint="eastAsia"/>
                </w:rPr>
                <w:t>上半年</w:t>
              </w:r>
              <w:r>
                <w:t>营业收入</w:t>
              </w:r>
              <w:r>
                <w:rPr>
                  <w:rFonts w:hint="eastAsia"/>
                </w:rPr>
                <w:t>141.46</w:t>
              </w:r>
              <w:r>
                <w:t>万元，净亏损</w:t>
              </w:r>
              <w:r>
                <w:rPr>
                  <w:rFonts w:hint="eastAsia"/>
                </w:rPr>
                <w:t>26.48</w:t>
              </w:r>
              <w:r>
                <w:t>万元。</w:t>
              </w:r>
            </w:p>
          </w:sdtContent>
        </w:sdt>
      </w:sdtContent>
    </w:sdt>
    <w:p>
      <w:pPr>
        <w:pStyle w:val="76"/>
      </w:pPr>
    </w:p>
    <w:sdt>
      <w:sdtPr>
        <w:rPr>
          <w:rFonts w:ascii="宋体" w:hAnsi="宋体" w:cs="宋体"/>
          <w:b w:val="0"/>
          <w:bCs w:val="0"/>
          <w:kern w:val="0"/>
          <w:szCs w:val="24"/>
        </w:rPr>
        <w:alias w:val="模块:公司控制的结构化主体情况"/>
        <w:tag w:val="_SEC_1ac5f271c9c14f569093b3be96ecc8d2"/>
        <w:id w:val="25153668"/>
        <w:lock w:val="sdtLocked"/>
        <w:placeholder>
          <w:docPart w:val="GBC22222222222222222222222222222"/>
        </w:placeholder>
      </w:sdtPr>
      <w:sdtEndPr>
        <w:rPr>
          <w:rFonts w:ascii="宋体" w:hAnsi="宋体" w:cs="宋体"/>
          <w:b w:val="0"/>
          <w:bCs w:val="0"/>
          <w:kern w:val="0"/>
          <w:szCs w:val="24"/>
        </w:rPr>
      </w:sdtEndPr>
      <w:sdtContent>
        <w:p>
          <w:pPr>
            <w:pStyle w:val="79"/>
            <w:numPr>
              <w:ilvl w:val="0"/>
              <w:numId w:val="7"/>
            </w:numPr>
          </w:pPr>
          <w:r>
            <w:t>公司控制的结构化主体情况</w:t>
          </w:r>
        </w:p>
        <w:sdt>
          <w:sdtPr>
            <w:rPr>
              <w:rFonts w:hint="eastAsia"/>
            </w:rPr>
            <w:alias w:val="是否适用：公司控制的结构化主体情况[双击切换]"/>
            <w:tag w:val="_GBC_6dee8f13bc9a4596ad3e5af6f90f0b8b"/>
            <w:id w:val="25153667"/>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3"/>
        <w:numPr>
          <w:ilvl w:val="0"/>
          <w:numId w:val="6"/>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25153670"/>
        <w:lock w:val="sdtLocked"/>
        <w:placeholder>
          <w:docPart w:val="GBC22222222222222222222222222222"/>
        </w:placeholder>
      </w:sdtPr>
      <w:sdtEndPr>
        <w:rPr>
          <w:rFonts w:ascii="宋体" w:hAnsi="宋体" w:cs="宋体"/>
          <w:b w:val="0"/>
          <w:bCs w:val="0"/>
          <w:kern w:val="0"/>
          <w:szCs w:val="24"/>
        </w:rPr>
      </w:sdtEndPr>
      <w:sdtContent>
        <w:p>
          <w:pPr>
            <w:pStyle w:val="79"/>
            <w:numPr>
              <w:ilvl w:val="0"/>
              <w:numId w:val="13"/>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515366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b w:val="0"/>
          <w:bCs w:val="0"/>
          <w:szCs w:val="24"/>
        </w:rPr>
        <w:alias w:val="模块:可能面对的风险"/>
        <w:tag w:val="_SEC_81e2de17d1214ba3b0e3ff89b6c2b65d"/>
        <w:id w:val="25153673"/>
        <w:lock w:val="sdtLocked"/>
        <w:placeholder>
          <w:docPart w:val="GBC22222222222222222222222222222"/>
        </w:placeholder>
      </w:sdtPr>
      <w:sdtEndPr>
        <w:rPr>
          <w:rFonts w:hint="eastAsia"/>
          <w:b w:val="0"/>
          <w:bCs w:val="0"/>
          <w:szCs w:val="21"/>
        </w:rPr>
      </w:sdtEndPr>
      <w:sdtContent>
        <w:p>
          <w:pPr>
            <w:pStyle w:val="4"/>
            <w:numPr>
              <w:ilvl w:val="0"/>
              <w:numId w:val="13"/>
            </w:numPr>
          </w:pPr>
          <w:r>
            <w:t>可能面对的风险</w:t>
          </w:r>
        </w:p>
        <w:sdt>
          <w:sdtPr>
            <w:rPr>
              <w:rFonts w:hint="eastAsia"/>
            </w:rPr>
            <w:alias w:val="是否适用：可能面对的风险[双击切换]"/>
            <w:tag w:val="_GBC_2a971d8ab5884d3eb5547ede4e1e17c9"/>
            <w:id w:val="25153671"/>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rFonts w:hint="eastAsia"/>
              <w:szCs w:val="24"/>
            </w:rPr>
            <w:alias w:val="公司可能面对的风险"/>
            <w:tag w:val="_GBC_6e03b01ba4f1453dbc563404b41bfdbc"/>
            <w:id w:val="25153672"/>
            <w:lock w:val="sdtLocked"/>
            <w:placeholder>
              <w:docPart w:val="GBC22222222222222222222222222222"/>
            </w:placeholder>
          </w:sdtPr>
          <w:sdtEndPr>
            <w:rPr>
              <w:rFonts w:hint="eastAsia"/>
              <w:szCs w:val="24"/>
            </w:rPr>
          </w:sdtEndPr>
          <w:sdtContent>
            <w:p>
              <w:pPr>
                <w:rPr>
                  <w:color w:val="000000" w:themeColor="text1"/>
                </w:rPr>
              </w:pPr>
              <w:r>
                <w:rPr>
                  <w:rFonts w:hint="eastAsia"/>
                  <w:color w:val="000000" w:themeColor="text1"/>
                </w:rPr>
                <w:t>1.钢铁产能过剩的矛盾没有得到根本解决。</w:t>
              </w:r>
            </w:p>
            <w:p>
              <w:pPr>
                <w:rPr>
                  <w:color w:val="000000" w:themeColor="text1"/>
                </w:rPr>
              </w:pPr>
              <w:r>
                <w:rPr>
                  <w:rFonts w:hint="eastAsia"/>
                  <w:color w:val="000000" w:themeColor="text1"/>
                </w:rPr>
                <w:t xml:space="preserve">    虽然国家从2016年开始采取一系列市场机制、经济手段和法治办法大力化解钢铁过剩产能，在去年淘汰5000万吨落后钢铁产能、并依法取缔1.4亿吨“地条钢”的基础上，今年政府工作报告又提出压减钢铁产能3000万吨，但同一时期新增的钢铁产能大于淘汰的落后钢铁产能，各地也出现了“地条钢”死灰复燃的现象，钢铁产能依然供大于求。在广西区域内，北方钢厂由于环保限产、产能转移等原因开始布局广西沿海地区，本地钢企也相继提出扩大产能，广西沿海地区将新增钢铁产能近3000万吨，钢铁供求关系也将发生变化。</w:t>
              </w:r>
              <w:r>
                <w:rPr>
                  <w:rFonts w:hint="eastAsia"/>
                  <w:color w:val="000000" w:themeColor="text1"/>
                </w:rPr>
                <w:br w:type="textWrapping"/>
              </w:r>
              <w:r>
                <w:rPr>
                  <w:rFonts w:hint="eastAsia"/>
                  <w:color w:val="000000" w:themeColor="text1"/>
                </w:rPr>
                <w:t>2.中美贸易摩擦对钢铁行业造成不利影响。</w:t>
              </w:r>
            </w:p>
            <w:p>
              <w:pPr>
                <w:rPr>
                  <w:color w:val="000000" w:themeColor="text1"/>
                </w:rPr>
              </w:pPr>
              <w:r>
                <w:rPr>
                  <w:rFonts w:hint="eastAsia"/>
                  <w:color w:val="000000" w:themeColor="text1"/>
                </w:rPr>
                <w:t xml:space="preserve">    我国钢材的主要需求集中在国内市场，出口美国的钢材仅占钢材总产量的0.1%左右，上半年发生的中美贸易摩擦对钢铁行业的直接影响有限，但对处于钢铁行业下游的机电、机械等钢材消费行业影响很大。这类产品出口美国受挫，必将导致国内钢材需求下降，从而间接对钢铁行业产生不利影响。从长远来看，如果中美贸易摩擦持续升级，商品流动受阻，消费价格上涨，甚至可能引发新一轮的全球经济危机，使钢铁行业重新陷入大面积亏损的困境。</w:t>
              </w:r>
            </w:p>
            <w:p>
              <w:pPr>
                <w:pStyle w:val="76"/>
              </w:pPr>
            </w:p>
          </w:sdtContent>
        </w:sdt>
      </w:sdtContent>
    </w:sdt>
    <w:p>
      <w:pPr>
        <w:pStyle w:val="76"/>
      </w:pPr>
    </w:p>
    <w:sdt>
      <w:sdtPr>
        <w:rPr>
          <w:rFonts w:ascii="宋体" w:hAnsi="宋体" w:cs="宋体"/>
          <w:b w:val="0"/>
          <w:bCs w:val="0"/>
          <w:kern w:val="0"/>
          <w:szCs w:val="24"/>
        </w:rPr>
        <w:alias w:val="模块:其他披露事项"/>
        <w:tag w:val="_SEC_2d00d0d8a1b7409b884a0beb6a447e0d"/>
        <w:id w:val="25153676"/>
        <w:lock w:val="sdtLocked"/>
        <w:placeholder>
          <w:docPart w:val="GBC22222222222222222222222222222"/>
        </w:placeholder>
      </w:sdtPr>
      <w:sdtEndPr>
        <w:rPr>
          <w:rFonts w:ascii="宋体" w:hAnsi="宋体" w:cs="宋体"/>
          <w:b w:val="0"/>
          <w:bCs w:val="0"/>
          <w:kern w:val="0"/>
          <w:szCs w:val="24"/>
        </w:rPr>
      </w:sdtEndPr>
      <w:sdtContent>
        <w:p>
          <w:pPr>
            <w:pStyle w:val="79"/>
            <w:numPr>
              <w:ilvl w:val="0"/>
              <w:numId w:val="13"/>
            </w:numPr>
          </w:pPr>
          <w:r>
            <w:t>其他披露事项</w:t>
          </w:r>
        </w:p>
        <w:sdt>
          <w:sdtPr>
            <w:rPr>
              <w:rFonts w:hint="eastAsia"/>
            </w:rPr>
            <w:alias w:val="是否适用：董事会其他需要披露的事项[双击切换]"/>
            <w:tag w:val="_GBC_4bd5ba6bf4044aee9ecd40a0c2fc29bf"/>
            <w:id w:val="25153674"/>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
    <w:bookmarkEnd w:id="21"/>
    <w:p>
      <w:pPr>
        <w:pStyle w:val="76"/>
      </w:pPr>
    </w:p>
    <w:p>
      <w:pPr>
        <w:pStyle w:val="2"/>
        <w:numPr>
          <w:ilvl w:val="0"/>
          <w:numId w:val="2"/>
        </w:numPr>
      </w:pPr>
      <w:bookmarkStart w:id="22" w:name="_Toc484510568"/>
      <w:r>
        <w:t>重要事项</w:t>
      </w:r>
      <w:bookmarkEnd w:id="22"/>
    </w:p>
    <w:sdt>
      <w:sdtPr>
        <w:rPr>
          <w:rFonts w:ascii="宋体" w:hAnsi="宋体"/>
          <w:b w:val="0"/>
          <w:bCs w:val="0"/>
          <w:szCs w:val="24"/>
        </w:rPr>
        <w:alias w:val="模块:股东大会情况简介"/>
        <w:tag w:val="_SEC_3ae22d0bfcd94a15aff38fa624550b48"/>
        <w:id w:val="25153683"/>
        <w:lock w:val="sdtLocked"/>
        <w:placeholder>
          <w:docPart w:val="GBC22222222222222222222222222222"/>
        </w:placeholder>
      </w:sdtPr>
      <w:sdtEndPr>
        <w:rPr>
          <w:rFonts w:hint="eastAsia" w:ascii="宋体" w:hAnsi="宋体"/>
          <w:b w:val="0"/>
          <w:bCs w:val="0"/>
          <w:szCs w:val="21"/>
        </w:rPr>
      </w:sdtEndPr>
      <w:sdtContent>
        <w:p>
          <w:pPr>
            <w:pStyle w:val="3"/>
            <w:numPr>
              <w:ilvl w:val="0"/>
              <w:numId w:val="14"/>
            </w:numPr>
            <w:spacing w:line="360" w:lineRule="auto"/>
          </w:pPr>
          <w:r>
            <w:t>股东大会情况简介</w:t>
          </w:r>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2165"/>
            <w:gridCol w:w="240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1cc20ffce09e4c6f9177bb14ea86e7d0"/>
                <w:id w:val="25153677"/>
                <w:lock w:val="sdtLocked"/>
              </w:sdtPr>
              <w:sdtContent>
                <w:tc>
                  <w:tcPr>
                    <w:tcW w:w="2311" w:type="dxa"/>
                    <w:vAlign w:val="center"/>
                  </w:tcPr>
                  <w:p>
                    <w:pPr>
                      <w:jc w:val="center"/>
                    </w:pPr>
                    <w:r>
                      <w:t>会议届次</w:t>
                    </w:r>
                  </w:p>
                </w:tc>
              </w:sdtContent>
            </w:sdt>
            <w:sdt>
              <w:sdtPr>
                <w:tag w:val="_PLD_5131bed02b6844c0b5c01da7fd041fdf"/>
                <w:id w:val="25153678"/>
                <w:lock w:val="sdtLocked"/>
              </w:sdtPr>
              <w:sdtContent>
                <w:tc>
                  <w:tcPr>
                    <w:tcW w:w="2165" w:type="dxa"/>
                    <w:vAlign w:val="center"/>
                  </w:tcPr>
                  <w:p>
                    <w:pPr>
                      <w:jc w:val="center"/>
                    </w:pPr>
                    <w:r>
                      <w:t>召开日期</w:t>
                    </w:r>
                  </w:p>
                </w:tc>
              </w:sdtContent>
            </w:sdt>
            <w:sdt>
              <w:sdtPr>
                <w:tag w:val="_PLD_ac686bea69a24374b72f5cb24ad75278"/>
                <w:id w:val="25153679"/>
                <w:lock w:val="sdtLocked"/>
              </w:sdtPr>
              <w:sdtContent>
                <w:tc>
                  <w:tcPr>
                    <w:tcW w:w="2407" w:type="dxa"/>
                    <w:vAlign w:val="center"/>
                  </w:tcPr>
                  <w:p>
                    <w:pPr>
                      <w:jc w:val="center"/>
                    </w:pPr>
                    <w:r>
                      <w:t>决议刊登的指定网站的查询索引</w:t>
                    </w:r>
                  </w:p>
                </w:tc>
              </w:sdtContent>
            </w:sdt>
            <w:sdt>
              <w:sdtPr>
                <w:tag w:val="_PLD_847128bdbe6f44d0a995f094abd3685c"/>
                <w:id w:val="25153680"/>
                <w:lock w:val="sdtLocked"/>
              </w:sdtPr>
              <w:sdtContent>
                <w:tc>
                  <w:tcPr>
                    <w:tcW w:w="2166" w:type="dxa"/>
                    <w:vAlign w:val="center"/>
                  </w:tcPr>
                  <w:p>
                    <w:pPr>
                      <w:jc w:val="center"/>
                    </w:pPr>
                    <w:r>
                      <w:t>决议刊登的披露日期</w:t>
                    </w:r>
                  </w:p>
                </w:tc>
              </w:sdtContent>
            </w:sdt>
          </w:tr>
          <w:sdt>
            <w:sdtPr>
              <w:rPr>
                <w:rFonts w:hint="eastAsia"/>
              </w:rPr>
              <w:alias w:val="股东大会情况"/>
              <w:tag w:val="_TUP_23eb487759fc41b6a2a06b40dd3fe0d9"/>
              <w:id w:val="2515368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1" w:type="dxa"/>
                  </w:tcPr>
                  <w:p>
                    <w:pPr>
                      <w:pStyle w:val="76"/>
                    </w:pPr>
                    <w:r>
                      <w:rPr>
                        <w:rFonts w:hint="eastAsia"/>
                        <w:bCs/>
                        <w:color w:val="000000" w:themeColor="text1"/>
                        <w:shd w:val="clear" w:color="auto" w:fill="FFFFFF"/>
                      </w:rPr>
                      <w:t>2018年第一次临时股东大会</w:t>
                    </w:r>
                  </w:p>
                  <w:p>
                    <w:pPr>
                      <w:pStyle w:val="76"/>
                    </w:pPr>
                  </w:p>
                </w:tc>
                <w:tc>
                  <w:tcPr>
                    <w:tcW w:w="2165" w:type="dxa"/>
                  </w:tcPr>
                  <w:p>
                    <w:pPr>
                      <w:pStyle w:val="76"/>
                    </w:pPr>
                    <w:r>
                      <w:rPr>
                        <w:rFonts w:hint="eastAsia"/>
                      </w:rPr>
                      <w:t>2018年2月27日</w:t>
                    </w:r>
                  </w:p>
                </w:tc>
                <w:tc>
                  <w:tcPr>
                    <w:tcW w:w="2407" w:type="dxa"/>
                  </w:tcPr>
                  <w:p>
                    <w:pPr>
                      <w:pStyle w:val="76"/>
                    </w:pPr>
                    <w:r>
                      <w:rPr>
                        <w:rFonts w:hint="eastAsia"/>
                      </w:rPr>
                      <w:t>上海证券交易所网站www.sse.com.cn，公告编号（2018-012）</w:t>
                    </w:r>
                  </w:p>
                </w:tc>
                <w:tc>
                  <w:tcPr>
                    <w:tcW w:w="2166" w:type="dxa"/>
                  </w:tcPr>
                  <w:p>
                    <w:pPr>
                      <w:pStyle w:val="76"/>
                    </w:pPr>
                    <w:r>
                      <w:rPr>
                        <w:rFonts w:hint="eastAsia"/>
                      </w:rPr>
                      <w:t>2018年2月28日</w:t>
                    </w:r>
                  </w:p>
                </w:tc>
              </w:tr>
            </w:sdtContent>
          </w:sdt>
          <w:sdt>
            <w:sdtPr>
              <w:rPr>
                <w:rFonts w:hint="eastAsia"/>
              </w:rPr>
              <w:alias w:val="股东大会情况"/>
              <w:tag w:val="_TUP_23eb487759fc41b6a2a06b40dd3fe0d9"/>
              <w:id w:val="2515368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1" w:type="dxa"/>
                  </w:tcPr>
                  <w:p>
                    <w:pPr>
                      <w:pStyle w:val="76"/>
                    </w:pPr>
                    <w:r>
                      <w:rPr>
                        <w:rFonts w:hint="eastAsia"/>
                      </w:rPr>
                      <w:t>2017年年度股东大会</w:t>
                    </w:r>
                  </w:p>
                </w:tc>
                <w:tc>
                  <w:tcPr>
                    <w:tcW w:w="2165" w:type="dxa"/>
                  </w:tcPr>
                  <w:p>
                    <w:pPr>
                      <w:pStyle w:val="76"/>
                    </w:pPr>
                    <w:r>
                      <w:rPr>
                        <w:rFonts w:hint="eastAsia"/>
                      </w:rPr>
                      <w:t>2018年5月8日</w:t>
                    </w:r>
                  </w:p>
                </w:tc>
                <w:tc>
                  <w:tcPr>
                    <w:tcW w:w="2407" w:type="dxa"/>
                  </w:tcPr>
                  <w:p>
                    <w:pPr>
                      <w:pStyle w:val="76"/>
                    </w:pPr>
                    <w:r>
                      <w:rPr>
                        <w:rFonts w:hint="eastAsia"/>
                      </w:rPr>
                      <w:t>上海证券交易所网站www.sse.com.cn，公告编号（2018-026）</w:t>
                    </w:r>
                  </w:p>
                </w:tc>
                <w:tc>
                  <w:tcPr>
                    <w:tcW w:w="2166" w:type="dxa"/>
                  </w:tcPr>
                  <w:p>
                    <w:pPr>
                      <w:pStyle w:val="76"/>
                    </w:pPr>
                    <w:r>
                      <w:rPr>
                        <w:rFonts w:hint="eastAsia"/>
                      </w:rPr>
                      <w:t>2018年5月9日</w:t>
                    </w:r>
                  </w:p>
                </w:tc>
              </w:tr>
            </w:sdtContent>
          </w:sdt>
        </w:tbl>
        <w:p>
          <w:pPr>
            <w:pStyle w:val="76"/>
          </w:pPr>
        </w:p>
      </w:sdtContent>
    </w:sdt>
    <w:sdt>
      <w:sdtPr>
        <w:rPr>
          <w:rFonts w:hint="eastAsia"/>
        </w:rPr>
        <w:alias w:val="模块:股东大会情况说明"/>
        <w:tag w:val="_SEC_bf1ce0d19a464ce2a3d1a1d438ffde42"/>
        <w:id w:val="25153685"/>
        <w:lock w:val="sdtLocked"/>
        <w:placeholder>
          <w:docPart w:val="GBC22222222222222222222222222222"/>
        </w:placeholder>
      </w:sdtPr>
      <w:sdtEndPr>
        <w:rPr>
          <w:rFonts w:hint="eastAsia"/>
        </w:rPr>
      </w:sdtEndPr>
      <w:sdtContent>
        <w:p>
          <w:pPr>
            <w:pStyle w:val="76"/>
          </w:pPr>
          <w:r>
            <w:rPr>
              <w:rFonts w:hint="eastAsia"/>
            </w:rPr>
            <w:t>股东大会情况说明</w:t>
          </w:r>
        </w:p>
        <w:sdt>
          <w:sdtPr>
            <w:rPr>
              <w:rFonts w:hint="eastAsia"/>
            </w:rPr>
            <w:alias w:val="是否适用：股东大会情况说明[双击切换]"/>
            <w:tag w:val="_GBC_bc06fc78c35044b0a848192606e2a5ad"/>
            <w:id w:val="25153684"/>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pPr>
        <w:pStyle w:val="76"/>
      </w:pPr>
    </w:p>
    <w:p>
      <w:pPr>
        <w:pStyle w:val="3"/>
        <w:numPr>
          <w:ilvl w:val="0"/>
          <w:numId w:val="14"/>
        </w:numPr>
        <w:spacing w:line="360" w:lineRule="auto"/>
      </w:pPr>
      <w:r>
        <w:t>利润分配或资本公积金转增预案</w:t>
      </w:r>
    </w:p>
    <w:p>
      <w:pPr>
        <w:pStyle w:val="4"/>
        <w:numPr>
          <w:ilvl w:val="0"/>
          <w:numId w:val="15"/>
        </w:numPr>
      </w:pPr>
      <w:r>
        <w:t>半年度拟定的利润分配预案、公积金转增股本预案</w:t>
      </w:r>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4"/>
      </w:tblGrid>
      <w:sdt>
        <w:sdtPr>
          <w:rPr>
            <w:rFonts w:ascii="Calibri" w:hAnsi="Calibri"/>
            <w:szCs w:val="21"/>
          </w:rPr>
          <w:alias w:val="模块:半年度拟定的利润分配预案"/>
          <w:tag w:val="_GBC_e4b48d016b974478b1fce3e8671a7227"/>
          <w:id w:val="25153688"/>
          <w:lock w:val="sdtLocked"/>
          <w:placeholder>
            <w:docPart w:val="GBC22222222222222222222222222222"/>
          </w:placeholder>
        </w:sdtPr>
        <w:sdtEndPr>
          <w:rPr>
            <w:rFonts w:hint="eastAsia" w:ascii="宋体" w:hAnsi="宋体"/>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Calibri" w:hAnsi="Calibri"/>
                  <w:szCs w:val="21"/>
                </w:rPr>
                <w:tag w:val="_PLD_dee68179c02c4ccc8a9b8d7e3f70f2c6"/>
                <w:id w:val="25153686"/>
                <w:lock w:val="sdtLocked"/>
              </w:sdtPr>
              <w:sdtEndPr>
                <w:rPr>
                  <w:rFonts w:ascii="宋体" w:hAnsi="宋体"/>
                  <w:szCs w:val="24"/>
                </w:rPr>
              </w:sdtEndPr>
              <w:sdtContent>
                <w:tc>
                  <w:tcPr>
                    <w:tcW w:w="4524" w:type="dxa"/>
                  </w:tcPr>
                  <w:p>
                    <w:pPr>
                      <w:pStyle w:val="76"/>
                      <w:widowControl w:val="0"/>
                      <w:jc w:val="both"/>
                    </w:pPr>
                    <w:r>
                      <w:t>是否分配或转增</w:t>
                    </w:r>
                  </w:p>
                </w:tc>
              </w:sdtContent>
            </w:sdt>
            <w:sdt>
              <w:sdtPr>
                <w:rPr>
                  <w:rFonts w:hint="eastAsia" w:ascii="Times New Roman" w:hAnsi="Times New Roman"/>
                </w:rPr>
                <w:alias w:val="是否分配或转增"/>
                <w:tag w:val="_GBC_1aa3bb539f35454da0536200efcc4f60"/>
                <w:id w:val="25153687"/>
                <w:lock w:val="sdtLocked"/>
                <w:comboBox>
                  <w:listItem w:displayText="是" w:value="true"/>
                  <w:listItem w:displayText="否" w:value="false"/>
                </w:comboBox>
              </w:sdtPr>
              <w:sdtEndPr>
                <w:rPr>
                  <w:rFonts w:hint="eastAsia" w:ascii="Times New Roman" w:hAnsi="Times New Roman"/>
                </w:rPr>
              </w:sdtEndPr>
              <w:sdtContent>
                <w:tc>
                  <w:tcPr>
                    <w:tcW w:w="4524" w:type="dxa"/>
                  </w:tcPr>
                  <w:p>
                    <w:pPr>
                      <w:widowControl w:val="0"/>
                      <w:jc w:val="left"/>
                    </w:pPr>
                    <w:r>
                      <w:rPr>
                        <w:rFonts w:hint="eastAsia"/>
                      </w:rPr>
                      <w:t>否</w:t>
                    </w:r>
                  </w:p>
                </w:tc>
              </w:sdtContent>
            </w:sdt>
          </w:tr>
        </w:sdtContent>
      </w:sdt>
    </w:tbl>
    <w:p>
      <w:pPr>
        <w:pStyle w:val="76"/>
      </w:pPr>
      <w:bookmarkStart w:id="23" w:name="_Toc342565988"/>
    </w:p>
    <w:p>
      <w:pPr>
        <w:pStyle w:val="3"/>
        <w:numPr>
          <w:ilvl w:val="0"/>
          <w:numId w:val="14"/>
        </w:numPr>
        <w:spacing w:line="360" w:lineRule="auto"/>
      </w:pPr>
      <w:r>
        <w:rPr>
          <w:rFonts w:hint="eastAsia"/>
        </w:rPr>
        <w:t>承诺事项履行情况</w:t>
      </w:r>
    </w:p>
    <w:sdt>
      <w:sdtPr>
        <w:rPr>
          <w:rFonts w:hint="eastAsia"/>
          <w:b w:val="0"/>
          <w:bCs w:val="0"/>
          <w:szCs w:val="21"/>
        </w:rPr>
        <w:alias w:val="模块:公司实际控制人、股东、关联方、收购人以及公司等承诺相关方在报..."/>
        <w:tag w:val="_SEC_0b5886e57afd437b88c6e55a33dbccb9"/>
        <w:id w:val="25153707"/>
        <w:lock w:val="sdtLocked"/>
        <w:placeholder>
          <w:docPart w:val="GBC22222222222222222222222222222"/>
        </w:placeholder>
      </w:sdtPr>
      <w:sdtEndPr>
        <w:rPr>
          <w:rFonts w:hint="default"/>
          <w:b w:val="0"/>
          <w:bCs w:val="0"/>
          <w:szCs w:val="21"/>
        </w:rPr>
      </w:sdtEndPr>
      <w:sdtContent>
        <w:p>
          <w:pPr>
            <w:pStyle w:val="4"/>
            <w:numPr>
              <w:ilvl w:val="1"/>
              <w:numId w:val="16"/>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25153689"/>
            <w:lock w:val="sdtContentLocked"/>
            <w:placeholder>
              <w:docPart w:val="GBC22222222222222222222222222222"/>
            </w:placeholder>
          </w:sdt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tbl>
          <w:tblPr>
            <w:tblStyle w:val="82"/>
            <w:tblW w:w="905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10"/>
            <w:gridCol w:w="1275"/>
            <w:gridCol w:w="3263"/>
            <w:gridCol w:w="1136"/>
            <w:gridCol w:w="85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cf4be735507474ea2ffb334536196ae"/>
                <w:id w:val="25153690"/>
                <w:lock w:val="sdtLocked"/>
              </w:sdtPr>
              <w:sdtEndPr>
                <w:rPr>
                  <w:sz w:val="18"/>
                  <w:szCs w:val="18"/>
                </w:rPr>
              </w:sdtEndPr>
              <w:sdtContent>
                <w:tc>
                  <w:tcPr>
                    <w:tcW w:w="977" w:type="dxa"/>
                    <w:shd w:val="clear" w:color="auto" w:fill="auto"/>
                    <w:vAlign w:val="center"/>
                  </w:tcPr>
                  <w:p>
                    <w:pPr>
                      <w:jc w:val="center"/>
                      <w:rPr>
                        <w:sz w:val="18"/>
                        <w:szCs w:val="18"/>
                      </w:rPr>
                    </w:pPr>
                    <w:r>
                      <w:rPr>
                        <w:rFonts w:hint="eastAsia"/>
                        <w:sz w:val="18"/>
                        <w:szCs w:val="18"/>
                      </w:rPr>
                      <w:t>承诺背景</w:t>
                    </w:r>
                  </w:p>
                </w:tc>
              </w:sdtContent>
            </w:sdt>
            <w:sdt>
              <w:sdtPr>
                <w:rPr>
                  <w:sz w:val="18"/>
                  <w:szCs w:val="18"/>
                </w:rPr>
                <w:tag w:val="_PLD_77809d9b500842ee846f5b9234afaf2c"/>
                <w:id w:val="25153691"/>
                <w:lock w:val="sdtLocked"/>
              </w:sdtPr>
              <w:sdtEndPr>
                <w:rPr>
                  <w:sz w:val="18"/>
                  <w:szCs w:val="18"/>
                </w:rPr>
              </w:sdtEndPr>
              <w:sdtContent>
                <w:tc>
                  <w:tcPr>
                    <w:tcW w:w="710" w:type="dxa"/>
                    <w:shd w:val="clear" w:color="auto" w:fill="auto"/>
                    <w:vAlign w:val="center"/>
                  </w:tcPr>
                  <w:p>
                    <w:pPr>
                      <w:jc w:val="center"/>
                      <w:rPr>
                        <w:sz w:val="18"/>
                        <w:szCs w:val="18"/>
                      </w:rPr>
                    </w:pPr>
                    <w:r>
                      <w:rPr>
                        <w:rFonts w:hint="eastAsia"/>
                        <w:sz w:val="18"/>
                        <w:szCs w:val="18"/>
                      </w:rPr>
                      <w:t>承诺</w:t>
                    </w:r>
                  </w:p>
                  <w:p>
                    <w:pPr>
                      <w:jc w:val="center"/>
                      <w:rPr>
                        <w:sz w:val="18"/>
                        <w:szCs w:val="18"/>
                      </w:rPr>
                    </w:pPr>
                    <w:r>
                      <w:rPr>
                        <w:rFonts w:hint="eastAsia"/>
                        <w:sz w:val="18"/>
                        <w:szCs w:val="18"/>
                      </w:rPr>
                      <w:t>类型</w:t>
                    </w:r>
                  </w:p>
                </w:tc>
              </w:sdtContent>
            </w:sdt>
            <w:sdt>
              <w:sdtPr>
                <w:rPr>
                  <w:sz w:val="18"/>
                  <w:szCs w:val="18"/>
                </w:rPr>
                <w:tag w:val="_PLD_d21f336f76d6499095ebb0491402a947"/>
                <w:id w:val="25153692"/>
                <w:lock w:val="sdtLocked"/>
              </w:sdtPr>
              <w:sdtEndPr>
                <w:rPr>
                  <w:sz w:val="18"/>
                  <w:szCs w:val="18"/>
                </w:rPr>
              </w:sdtEndPr>
              <w:sdtContent>
                <w:tc>
                  <w:tcPr>
                    <w:tcW w:w="1275" w:type="dxa"/>
                    <w:shd w:val="clear" w:color="auto" w:fill="auto"/>
                    <w:vAlign w:val="center"/>
                  </w:tcPr>
                  <w:p>
                    <w:pPr>
                      <w:jc w:val="center"/>
                      <w:rPr>
                        <w:sz w:val="18"/>
                        <w:szCs w:val="18"/>
                      </w:rPr>
                    </w:pPr>
                    <w:r>
                      <w:rPr>
                        <w:rFonts w:hint="eastAsia"/>
                        <w:sz w:val="18"/>
                        <w:szCs w:val="18"/>
                      </w:rPr>
                      <w:t>承诺方</w:t>
                    </w:r>
                  </w:p>
                </w:tc>
              </w:sdtContent>
            </w:sdt>
            <w:sdt>
              <w:sdtPr>
                <w:rPr>
                  <w:sz w:val="18"/>
                  <w:szCs w:val="18"/>
                </w:rPr>
                <w:tag w:val="_PLD_edc023441e514f09b2c6745eaeed4f1d"/>
                <w:id w:val="25153693"/>
                <w:lock w:val="sdtLocked"/>
              </w:sdtPr>
              <w:sdtEndPr>
                <w:rPr>
                  <w:sz w:val="18"/>
                  <w:szCs w:val="18"/>
                </w:rPr>
              </w:sdtEndPr>
              <w:sdtContent>
                <w:tc>
                  <w:tcPr>
                    <w:tcW w:w="3263" w:type="dxa"/>
                    <w:shd w:val="clear" w:color="auto" w:fill="auto"/>
                    <w:vAlign w:val="center"/>
                  </w:tcPr>
                  <w:p>
                    <w:pPr>
                      <w:jc w:val="center"/>
                      <w:rPr>
                        <w:sz w:val="18"/>
                        <w:szCs w:val="18"/>
                      </w:rPr>
                    </w:pPr>
                    <w:r>
                      <w:rPr>
                        <w:rFonts w:hint="eastAsia"/>
                        <w:sz w:val="18"/>
                        <w:szCs w:val="18"/>
                      </w:rPr>
                      <w:t>承诺</w:t>
                    </w:r>
                  </w:p>
                  <w:p>
                    <w:pPr>
                      <w:jc w:val="center"/>
                      <w:rPr>
                        <w:sz w:val="18"/>
                        <w:szCs w:val="18"/>
                      </w:rPr>
                    </w:pPr>
                    <w:r>
                      <w:rPr>
                        <w:rFonts w:hint="eastAsia"/>
                        <w:sz w:val="18"/>
                        <w:szCs w:val="18"/>
                      </w:rPr>
                      <w:t>内容</w:t>
                    </w:r>
                  </w:p>
                </w:tc>
              </w:sdtContent>
            </w:sdt>
            <w:sdt>
              <w:sdtPr>
                <w:rPr>
                  <w:sz w:val="18"/>
                  <w:szCs w:val="18"/>
                </w:rPr>
                <w:tag w:val="_PLD_d398e2f412b141208b0742084901cc8c"/>
                <w:id w:val="25153694"/>
                <w:lock w:val="sdtLocked"/>
              </w:sdtPr>
              <w:sdtEndPr>
                <w:rPr>
                  <w:sz w:val="18"/>
                  <w:szCs w:val="18"/>
                </w:rPr>
              </w:sdtEndPr>
              <w:sdtContent>
                <w:tc>
                  <w:tcPr>
                    <w:tcW w:w="1136" w:type="dxa"/>
                    <w:shd w:val="clear" w:color="auto" w:fill="auto"/>
                    <w:vAlign w:val="center"/>
                  </w:tcPr>
                  <w:p>
                    <w:pPr>
                      <w:jc w:val="center"/>
                      <w:rPr>
                        <w:sz w:val="18"/>
                        <w:szCs w:val="18"/>
                      </w:rPr>
                    </w:pPr>
                    <w:r>
                      <w:rPr>
                        <w:rFonts w:hint="eastAsia"/>
                        <w:sz w:val="18"/>
                        <w:szCs w:val="18"/>
                      </w:rPr>
                      <w:t>承诺时间及期限</w:t>
                    </w:r>
                  </w:p>
                </w:tc>
              </w:sdtContent>
            </w:sdt>
            <w:sdt>
              <w:sdtPr>
                <w:rPr>
                  <w:sz w:val="18"/>
                  <w:szCs w:val="18"/>
                </w:rPr>
                <w:tag w:val="_PLD_1bb30cce0850445480f1557cc607067b"/>
                <w:id w:val="25153695"/>
                <w:lock w:val="sdtLocked"/>
              </w:sdtPr>
              <w:sdtEndPr>
                <w:rPr>
                  <w:sz w:val="18"/>
                  <w:szCs w:val="18"/>
                </w:rPr>
              </w:sdtEndPr>
              <w:sdtContent>
                <w:tc>
                  <w:tcPr>
                    <w:tcW w:w="851" w:type="dxa"/>
                    <w:shd w:val="clear" w:color="auto" w:fill="auto"/>
                    <w:vAlign w:val="center"/>
                  </w:tcPr>
                  <w:p>
                    <w:pPr>
                      <w:jc w:val="center"/>
                      <w:rPr>
                        <w:sz w:val="18"/>
                        <w:szCs w:val="18"/>
                      </w:rPr>
                    </w:pPr>
                    <w:r>
                      <w:rPr>
                        <w:rFonts w:hint="eastAsia"/>
                        <w:sz w:val="18"/>
                        <w:szCs w:val="18"/>
                      </w:rPr>
                      <w:t>是否有履行期限</w:t>
                    </w:r>
                  </w:p>
                </w:tc>
              </w:sdtContent>
            </w:sdt>
            <w:sdt>
              <w:sdtPr>
                <w:rPr>
                  <w:sz w:val="18"/>
                  <w:szCs w:val="18"/>
                </w:rPr>
                <w:tag w:val="_PLD_163d41dca4704f5ea4aae2d6d04db88e"/>
                <w:id w:val="25153696"/>
                <w:lock w:val="sdtLocked"/>
              </w:sdtPr>
              <w:sdtEndPr>
                <w:rPr>
                  <w:sz w:val="18"/>
                  <w:szCs w:val="18"/>
                </w:rPr>
              </w:sdtEndPr>
              <w:sdtContent>
                <w:tc>
                  <w:tcPr>
                    <w:tcW w:w="846" w:type="dxa"/>
                    <w:shd w:val="clear" w:color="auto" w:fill="auto"/>
                    <w:vAlign w:val="center"/>
                  </w:tcPr>
                  <w:p>
                    <w:pPr>
                      <w:jc w:val="center"/>
                      <w:rPr>
                        <w:sz w:val="18"/>
                        <w:szCs w:val="18"/>
                      </w:rPr>
                    </w:pPr>
                    <w:r>
                      <w:rPr>
                        <w:rFonts w:hint="eastAsia"/>
                        <w:sz w:val="18"/>
                        <w:szCs w:val="18"/>
                      </w:rPr>
                      <w:t>是否及时严格履行</w:t>
                    </w:r>
                  </w:p>
                </w:tc>
              </w:sdtContent>
            </w:sdt>
          </w:tr>
          <w:sdt>
            <w:sdtPr>
              <w:rPr>
                <w:rFonts w:hint="eastAsia"/>
                <w:sz w:val="18"/>
                <w:szCs w:val="18"/>
              </w:rPr>
              <w:alias w:val="与首次公开发行相关的承诺"/>
              <w:tag w:val="_TUP_98b30934a40c44fe822f4cc26616e99c"/>
              <w:id w:val="25153701"/>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shd w:val="clear" w:color="auto" w:fill="auto"/>
                    <w:vAlign w:val="center"/>
                  </w:tcPr>
                  <w:sdt>
                    <w:sdtPr>
                      <w:rPr>
                        <w:rFonts w:hint="eastAsia"/>
                        <w:sz w:val="18"/>
                        <w:szCs w:val="18"/>
                      </w:rPr>
                      <w:tag w:val="_PLD_a3bb0de076044bf4af956e5654049bfc"/>
                      <w:id w:val="25153697"/>
                      <w:lock w:val="sdtLocked"/>
                    </w:sdtPr>
                    <w:sdtEndPr>
                      <w:rPr>
                        <w:rFonts w:hint="eastAsia"/>
                        <w:sz w:val="18"/>
                        <w:szCs w:val="18"/>
                      </w:rPr>
                    </w:sdtEndPr>
                    <w:sdtContent>
                      <w:p>
                        <w:pPr>
                          <w:rPr>
                            <w:sz w:val="18"/>
                            <w:szCs w:val="18"/>
                          </w:rPr>
                        </w:pPr>
                        <w:r>
                          <w:rPr>
                            <w:rFonts w:hint="eastAsia"/>
                            <w:sz w:val="18"/>
                            <w:szCs w:val="18"/>
                          </w:rPr>
                          <w:t>与首次公开发行相关的承诺</w:t>
                        </w:r>
                      </w:p>
                    </w:sdtContent>
                  </w:sdt>
                </w:tc>
                <w:sdt>
                  <w:sdtPr>
                    <w:rPr>
                      <w:sz w:val="18"/>
                      <w:szCs w:val="18"/>
                    </w:rPr>
                    <w:alias w:val="与首次公开发行相关的承诺-承诺类型"/>
                    <w:tag w:val="_GBC_f0b3976fba3f46e4affc4364f69d8f5a"/>
                    <w:id w:val="2515369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710" w:type="dxa"/>
                        <w:shd w:val="clear" w:color="auto" w:fill="auto"/>
                      </w:tcPr>
                      <w:p>
                        <w:pPr>
                          <w:rPr>
                            <w:color w:val="FFC000"/>
                            <w:sz w:val="18"/>
                            <w:szCs w:val="18"/>
                          </w:rPr>
                        </w:pPr>
                        <w:r>
                          <w:rPr>
                            <w:sz w:val="18"/>
                            <w:szCs w:val="18"/>
                          </w:rPr>
                          <w:t>解决同业竞争</w:t>
                        </w:r>
                      </w:p>
                    </w:tc>
                  </w:sdtContent>
                </w:sdt>
                <w:tc>
                  <w:tcPr>
                    <w:tcW w:w="1275" w:type="dxa"/>
                    <w:shd w:val="clear" w:color="auto" w:fill="auto"/>
                  </w:tcPr>
                  <w:p>
                    <w:pPr>
                      <w:rPr>
                        <w:sz w:val="18"/>
                        <w:szCs w:val="18"/>
                      </w:rPr>
                    </w:pPr>
                    <w:r>
                      <w:rPr>
                        <w:sz w:val="18"/>
                        <w:szCs w:val="18"/>
                      </w:rPr>
                      <w:t>广西柳州钢铁集团有限公司</w:t>
                    </w:r>
                  </w:p>
                </w:tc>
                <w:tc>
                  <w:tcPr>
                    <w:tcW w:w="3263" w:type="dxa"/>
                    <w:shd w:val="clear" w:color="auto" w:fill="auto"/>
                  </w:tcPr>
                  <w:p>
                    <w:pPr>
                      <w:rPr>
                        <w:sz w:val="18"/>
                        <w:szCs w:val="18"/>
                      </w:rPr>
                    </w:pPr>
                    <w:r>
                      <w:rPr>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tc>
                  <w:tcPr>
                    <w:tcW w:w="1136" w:type="dxa"/>
                    <w:shd w:val="clear" w:color="auto" w:fill="auto"/>
                  </w:tcPr>
                  <w:p>
                    <w:pPr>
                      <w:rPr>
                        <w:sz w:val="18"/>
                        <w:szCs w:val="18"/>
                      </w:rPr>
                    </w:pPr>
                    <w:r>
                      <w:rPr>
                        <w:sz w:val="18"/>
                        <w:szCs w:val="18"/>
                      </w:rPr>
                      <w:t>自2007年2月起履行</w:t>
                    </w:r>
                  </w:p>
                </w:tc>
                <w:sdt>
                  <w:sdtPr>
                    <w:rPr>
                      <w:sz w:val="18"/>
                      <w:szCs w:val="18"/>
                    </w:rPr>
                    <w:alias w:val="与首次公开发行相关的承诺-是否有履行期限"/>
                    <w:tag w:val="_GBC_1a64033131a64daa8e3bdd128e9385c8"/>
                    <w:id w:val="25153699"/>
                    <w:lock w:val="sdtLocked"/>
                    <w:comboBox>
                      <w:listItem w:displayText="是" w:value="true"/>
                      <w:listItem w:displayText="否" w:value="false"/>
                    </w:comboBox>
                  </w:sdtPr>
                  <w:sdtEndPr>
                    <w:rPr>
                      <w:sz w:val="18"/>
                      <w:szCs w:val="18"/>
                    </w:rPr>
                  </w:sdtEndPr>
                  <w:sdtContent>
                    <w:tc>
                      <w:tcPr>
                        <w:tcW w:w="851" w:type="dxa"/>
                        <w:shd w:val="clear" w:color="auto" w:fill="auto"/>
                      </w:tcPr>
                      <w:p>
                        <w:pPr>
                          <w:rPr>
                            <w:sz w:val="18"/>
                            <w:szCs w:val="18"/>
                          </w:rPr>
                        </w:pPr>
                        <w:r>
                          <w:rPr>
                            <w:sz w:val="18"/>
                            <w:szCs w:val="18"/>
                          </w:rPr>
                          <w:t>否</w:t>
                        </w:r>
                      </w:p>
                    </w:tc>
                  </w:sdtContent>
                </w:sdt>
                <w:sdt>
                  <w:sdtPr>
                    <w:rPr>
                      <w:sz w:val="18"/>
                      <w:szCs w:val="18"/>
                    </w:rPr>
                    <w:alias w:val="与首次公开发行相关的承诺-是否及时严格履行"/>
                    <w:tag w:val="_GBC_72e17878bcd24bdb95a1b0936940ee48"/>
                    <w:id w:val="25153700"/>
                    <w:lock w:val="sdtLocked"/>
                    <w:comboBox>
                      <w:listItem w:displayText="是" w:value="true"/>
                      <w:listItem w:displayText="否" w:value="false"/>
                    </w:comboBox>
                  </w:sdtPr>
                  <w:sdtEndPr>
                    <w:rPr>
                      <w:sz w:val="18"/>
                      <w:szCs w:val="18"/>
                    </w:rPr>
                  </w:sdtEndPr>
                  <w:sdtContent>
                    <w:tc>
                      <w:tcPr>
                        <w:tcW w:w="846" w:type="dxa"/>
                        <w:shd w:val="clear" w:color="auto" w:fill="auto"/>
                      </w:tcPr>
                      <w:p>
                        <w:pPr>
                          <w:rPr>
                            <w:sz w:val="18"/>
                            <w:szCs w:val="18"/>
                          </w:rPr>
                        </w:pPr>
                        <w:r>
                          <w:rPr>
                            <w:sz w:val="18"/>
                            <w:szCs w:val="18"/>
                          </w:rPr>
                          <w:t>是</w:t>
                        </w:r>
                      </w:p>
                    </w:tc>
                  </w:sdtContent>
                </w:sdt>
              </w:tr>
            </w:sdtContent>
          </w:sdt>
          <w:sdt>
            <w:sdtPr>
              <w:rPr>
                <w:rFonts w:hint="eastAsia"/>
                <w:sz w:val="18"/>
                <w:szCs w:val="18"/>
              </w:rPr>
              <w:alias w:val="与再融资相关的承诺"/>
              <w:tag w:val="_TUP_0676323f2b9043339330c71dd933876a"/>
              <w:id w:val="25153706"/>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shd w:val="clear" w:color="auto" w:fill="auto"/>
                    <w:vAlign w:val="center"/>
                  </w:tcPr>
                  <w:sdt>
                    <w:sdtPr>
                      <w:rPr>
                        <w:rFonts w:hint="eastAsia"/>
                        <w:sz w:val="18"/>
                        <w:szCs w:val="18"/>
                      </w:rPr>
                      <w:tag w:val="_PLD_e1964063cb86498486e1bb7869b34cad"/>
                      <w:id w:val="25153702"/>
                      <w:lock w:val="sdtLocked"/>
                    </w:sdtPr>
                    <w:sdtEndPr>
                      <w:rPr>
                        <w:rFonts w:hint="eastAsia"/>
                        <w:sz w:val="18"/>
                        <w:szCs w:val="18"/>
                      </w:rPr>
                    </w:sdtEndPr>
                    <w:sdtContent>
                      <w:p>
                        <w:pPr>
                          <w:rPr>
                            <w:sz w:val="18"/>
                            <w:szCs w:val="18"/>
                          </w:rPr>
                        </w:pPr>
                        <w:r>
                          <w:rPr>
                            <w:rFonts w:hint="eastAsia"/>
                            <w:sz w:val="18"/>
                            <w:szCs w:val="18"/>
                          </w:rPr>
                          <w:t>与再融资相关的承诺</w:t>
                        </w:r>
                      </w:p>
                    </w:sdtContent>
                  </w:sdt>
                </w:tc>
                <w:sdt>
                  <w:sdtPr>
                    <w:rPr>
                      <w:sz w:val="18"/>
                      <w:szCs w:val="18"/>
                    </w:rPr>
                    <w:alias w:val="与再融资相关的承诺-承诺类型"/>
                    <w:tag w:val="_GBC_51fc7c8c3d5a45708a58624d814ebea4"/>
                    <w:id w:val="2515370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710" w:type="dxa"/>
                        <w:shd w:val="clear" w:color="auto" w:fill="auto"/>
                      </w:tcPr>
                      <w:p>
                        <w:pPr>
                          <w:rPr>
                            <w:sz w:val="18"/>
                            <w:szCs w:val="18"/>
                          </w:rPr>
                        </w:pPr>
                        <w:r>
                          <w:rPr>
                            <w:sz w:val="18"/>
                            <w:szCs w:val="18"/>
                          </w:rPr>
                          <w:t>解决同业竞争</w:t>
                        </w:r>
                      </w:p>
                    </w:tc>
                  </w:sdtContent>
                </w:sdt>
                <w:tc>
                  <w:tcPr>
                    <w:tcW w:w="1275" w:type="dxa"/>
                    <w:shd w:val="clear" w:color="auto" w:fill="auto"/>
                  </w:tcPr>
                  <w:p>
                    <w:pPr>
                      <w:rPr>
                        <w:sz w:val="18"/>
                        <w:szCs w:val="18"/>
                      </w:rPr>
                    </w:pPr>
                    <w:r>
                      <w:rPr>
                        <w:sz w:val="18"/>
                        <w:szCs w:val="18"/>
                      </w:rPr>
                      <w:t>广西柳州钢铁集团有限公司</w:t>
                    </w:r>
                  </w:p>
                </w:tc>
                <w:tc>
                  <w:tcPr>
                    <w:tcW w:w="3263" w:type="dxa"/>
                    <w:shd w:val="clear" w:color="auto" w:fill="auto"/>
                  </w:tcPr>
                  <w:p>
                    <w:pPr>
                      <w:rPr>
                        <w:sz w:val="18"/>
                        <w:szCs w:val="18"/>
                      </w:rPr>
                    </w:pPr>
                    <w:r>
                      <w:rPr>
                        <w:sz w:val="18"/>
                        <w:szCs w:val="18"/>
                      </w:rPr>
                      <w:t>柳钢集团在本公司《公开发行公司债券募集说明书》中承诺：“如果集团公司及其下属全资、控股或控制的公司 /企业/ 单位存在与柳钢股份钢铁主业构成或可能构成同业竞争的资产和业务，在柳钢股份提出收购要求时，集团公司及其下属全资、控股或控制的公司 /企业/单位将以合理的价格及条件按照法律规定的程序优先转让给柳钢股份。</w:t>
                    </w:r>
                  </w:p>
                </w:tc>
                <w:tc>
                  <w:tcPr>
                    <w:tcW w:w="1136" w:type="dxa"/>
                    <w:shd w:val="clear" w:color="auto" w:fill="auto"/>
                  </w:tcPr>
                  <w:p>
                    <w:pPr>
                      <w:rPr>
                        <w:sz w:val="18"/>
                        <w:szCs w:val="18"/>
                      </w:rPr>
                    </w:pPr>
                    <w:r>
                      <w:rPr>
                        <w:sz w:val="18"/>
                        <w:szCs w:val="18"/>
                      </w:rPr>
                      <w:t>自2011年5月起履行</w:t>
                    </w:r>
                  </w:p>
                </w:tc>
                <w:sdt>
                  <w:sdtPr>
                    <w:rPr>
                      <w:sz w:val="18"/>
                      <w:szCs w:val="18"/>
                    </w:rPr>
                    <w:alias w:val="与再融资相关的承诺-是否有履行期限"/>
                    <w:tag w:val="_GBC_61a129f65e5345a9a2449bccefe4fc4f"/>
                    <w:id w:val="25153704"/>
                    <w:lock w:val="sdtLocked"/>
                    <w:comboBox>
                      <w:listItem w:displayText="是" w:value="true"/>
                      <w:listItem w:displayText="否" w:value="false"/>
                    </w:comboBox>
                  </w:sdtPr>
                  <w:sdtEndPr>
                    <w:rPr>
                      <w:sz w:val="18"/>
                      <w:szCs w:val="18"/>
                    </w:rPr>
                  </w:sdtEndPr>
                  <w:sdtContent>
                    <w:tc>
                      <w:tcPr>
                        <w:tcW w:w="851" w:type="dxa"/>
                        <w:shd w:val="clear" w:color="auto" w:fill="auto"/>
                      </w:tcPr>
                      <w:p>
                        <w:pPr>
                          <w:rPr>
                            <w:sz w:val="18"/>
                            <w:szCs w:val="18"/>
                          </w:rPr>
                        </w:pPr>
                        <w:r>
                          <w:rPr>
                            <w:sz w:val="18"/>
                            <w:szCs w:val="18"/>
                          </w:rPr>
                          <w:t>否</w:t>
                        </w:r>
                      </w:p>
                    </w:tc>
                  </w:sdtContent>
                </w:sdt>
                <w:sdt>
                  <w:sdtPr>
                    <w:rPr>
                      <w:sz w:val="18"/>
                      <w:szCs w:val="18"/>
                    </w:rPr>
                    <w:alias w:val="与再融资相关的承诺-是否及时严格履行"/>
                    <w:tag w:val="_GBC_b85129af82754ffea8b356787ace9197"/>
                    <w:id w:val="25153705"/>
                    <w:lock w:val="sdtLocked"/>
                    <w:comboBox>
                      <w:listItem w:displayText="是" w:value="true"/>
                      <w:listItem w:displayText="否" w:value="false"/>
                    </w:comboBox>
                  </w:sdtPr>
                  <w:sdtEndPr>
                    <w:rPr>
                      <w:sz w:val="18"/>
                      <w:szCs w:val="18"/>
                    </w:rPr>
                  </w:sdtEndPr>
                  <w:sdtContent>
                    <w:tc>
                      <w:tcPr>
                        <w:tcW w:w="846" w:type="dxa"/>
                        <w:shd w:val="clear" w:color="auto" w:fill="auto"/>
                      </w:tcPr>
                      <w:p>
                        <w:pPr>
                          <w:rPr>
                            <w:sz w:val="18"/>
                            <w:szCs w:val="18"/>
                          </w:rPr>
                        </w:pPr>
                        <w:r>
                          <w:rPr>
                            <w:sz w:val="18"/>
                            <w:szCs w:val="18"/>
                          </w:rPr>
                          <w:t>是</w:t>
                        </w:r>
                      </w:p>
                    </w:tc>
                  </w:sdtContent>
                </w:sdt>
              </w:tr>
            </w:sdtContent>
          </w:sdt>
        </w:tbl>
        <w:p>
          <w:pPr>
            <w:pStyle w:val="76"/>
          </w:pPr>
        </w:p>
        <w:p>
          <w:pPr>
            <w:pStyle w:val="76"/>
          </w:pPr>
        </w:p>
      </w:sdtContent>
    </w:sdt>
    <w:p>
      <w:pPr>
        <w:pStyle w:val="3"/>
        <w:numPr>
          <w:ilvl w:val="0"/>
          <w:numId w:val="14"/>
        </w:numPr>
        <w:spacing w:line="360" w:lineRule="auto"/>
      </w:pPr>
      <w:r>
        <w:t>聘任、解聘会计师事务所情况</w:t>
      </w:r>
    </w:p>
    <w:sdt>
      <w:sdtPr>
        <w:rPr>
          <w:rFonts w:hint="eastAsia"/>
        </w:rPr>
        <w:alias w:val="模块:聘任、解聘会计师事务所的情况说明"/>
        <w:tag w:val="_SEC_da98fea575804e4da57e6ed94a08807a"/>
        <w:id w:val="25153709"/>
        <w:lock w:val="sdtLocked"/>
        <w:placeholder>
          <w:docPart w:val="GBC22222222222222222222222222222"/>
        </w:placeholder>
      </w:sdtPr>
      <w:sdtEndPr>
        <w:rPr>
          <w:rFonts w:hint="eastAsia"/>
        </w:rPr>
      </w:sdtEndPr>
      <w:sdtContent>
        <w:p>
          <w:pPr>
            <w:pStyle w:val="76"/>
          </w:pPr>
          <w:r>
            <w:rPr>
              <w:rFonts w:hint="eastAsia"/>
            </w:rPr>
            <w:t>聘任、解聘会计师事务所的情况说明</w:t>
          </w:r>
        </w:p>
        <w:sdt>
          <w:sdtPr>
            <w:rPr>
              <w:rFonts w:hint="eastAsia"/>
            </w:rPr>
            <w:alias w:val="是否适用：聘任、解聘会计师事务所情况[双击切换]"/>
            <w:tag w:val="_GBC_e563da3651274dd6a705d1da6434db17"/>
            <w:id w:val="25153708"/>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pPr>
        <w:pStyle w:val="76"/>
      </w:pPr>
    </w:p>
    <w:sdt>
      <w:sdtPr>
        <w:rPr>
          <w:rFonts w:hint="eastAsia"/>
        </w:rPr>
        <w:alias w:val="模块:审计期间改聘会计师事务所的情况说明"/>
        <w:tag w:val="_SEC_39a839676dca47f595f0cbe05d986e81"/>
        <w:id w:val="25153711"/>
        <w:lock w:val="sdtLocked"/>
        <w:placeholder>
          <w:docPart w:val="GBC22222222222222222222222222222"/>
        </w:placeholder>
      </w:sdtPr>
      <w:sdtEndPr>
        <w:rPr>
          <w:rFonts w:hint="eastAsia"/>
        </w:rPr>
      </w:sdtEndPr>
      <w:sdtContent>
        <w:p>
          <w:pPr>
            <w:pStyle w:val="76"/>
          </w:pPr>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25153710"/>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pPr>
        <w:pStyle w:val="76"/>
      </w:pPr>
    </w:p>
    <w:sdt>
      <w:sdtPr>
        <w:rPr>
          <w:b/>
          <w:bCs/>
          <w:szCs w:val="22"/>
        </w:rPr>
        <w:alias w:val="模块:公司对会计师事务所“非标准审计报告”的说明"/>
        <w:tag w:val="_SEC_ff2ca8295db041209fe47eea7ae742aa"/>
        <w:id w:val="25153713"/>
        <w:lock w:val="sdtLocked"/>
        <w:placeholder>
          <w:docPart w:val="GBC22222222222222222222222222222"/>
        </w:placeholder>
      </w:sdtPr>
      <w:sdtEndPr>
        <w:rPr>
          <w:rFonts w:hint="eastAsia"/>
          <w:b w:val="0"/>
          <w:bCs w:val="0"/>
          <w:szCs w:val="21"/>
        </w:rPr>
      </w:sdtEndPr>
      <w:sdtContent>
        <w:p>
          <w:pPr>
            <w:pStyle w:val="76"/>
          </w:pPr>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25153712"/>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pPr>
        <w:pStyle w:val="76"/>
      </w:pPr>
    </w:p>
    <w:sdt>
      <w:sdtPr>
        <w:rPr>
          <w:rFonts w:hint="eastAsia"/>
        </w:rPr>
        <w:alias w:val="模块:公司对上年年度报告中的财务报告被注册会计师出具“非标准审计报..."/>
        <w:tag w:val="_SEC_10be83ff0126440a8620e35536191767"/>
        <w:id w:val="25153715"/>
        <w:lock w:val="sdtLocked"/>
        <w:placeholder>
          <w:docPart w:val="GBC22222222222222222222222222222"/>
        </w:placeholder>
      </w:sdtPr>
      <w:sdtEndPr>
        <w:rPr>
          <w:rFonts w:hint="eastAsia"/>
        </w:rPr>
      </w:sdtEndPr>
      <w:sdtContent>
        <w:p>
          <w:pPr>
            <w:pStyle w:val="76"/>
          </w:pPr>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25153714"/>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pPr>
            <w:pStyle w:val="76"/>
          </w:pPr>
        </w:p>
      </w:sdtContent>
    </w:sdt>
    <w:sdt>
      <w:sdtPr>
        <w:rPr>
          <w:rFonts w:hint="eastAsia" w:ascii="宋体" w:hAnsi="宋体"/>
          <w:b w:val="0"/>
          <w:bCs w:val="0"/>
          <w:szCs w:val="24"/>
        </w:rPr>
        <w:alias w:val="模块:破产重整相关事项"/>
        <w:tag w:val="_SEC_1ae3a3f4b3c4484980120137749e19ed"/>
        <w:id w:val="25153717"/>
        <w:lock w:val="sdtLocked"/>
        <w:placeholder>
          <w:docPart w:val="GBC22222222222222222222222222222"/>
        </w:placeholder>
      </w:sdtPr>
      <w:sdtEndPr>
        <w:rPr>
          <w:rFonts w:hint="eastAsia" w:ascii="宋体" w:hAnsi="宋体"/>
          <w:b w:val="0"/>
          <w:bCs w:val="0"/>
          <w:szCs w:val="21"/>
        </w:rPr>
      </w:sdtEndPr>
      <w:sdtContent>
        <w:p>
          <w:pPr>
            <w:pStyle w:val="3"/>
            <w:numPr>
              <w:ilvl w:val="0"/>
              <w:numId w:val="14"/>
            </w:numPr>
            <w:spacing w:line="360" w:lineRule="auto"/>
          </w:pPr>
          <w:r>
            <w:rPr>
              <w:rFonts w:hint="eastAsia"/>
            </w:rPr>
            <w:t>破产重整相关事项</w:t>
          </w:r>
        </w:p>
        <w:sdt>
          <w:sdtPr>
            <w:rPr>
              <w:rFonts w:hint="eastAsia"/>
            </w:rPr>
            <w:alias w:val="是否适用：破产重整相关事项[双击切换]"/>
            <w:tag w:val="_GBC_c4fc8890d63b44b19353d2188a5bce59"/>
            <w:id w:val="25153716"/>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pPr>
        <w:pStyle w:val="76"/>
      </w:pPr>
    </w:p>
    <w:p>
      <w:pPr>
        <w:pStyle w:val="3"/>
        <w:numPr>
          <w:ilvl w:val="0"/>
          <w:numId w:val="14"/>
        </w:numPr>
        <w:spacing w:line="360" w:lineRule="auto"/>
      </w:pPr>
      <w:r>
        <w:t>重大诉讼、仲裁事项</w:t>
      </w:r>
    </w:p>
    <w:sdt>
      <w:sdtPr>
        <w:alias w:val="本年度公司有无重大诉讼、仲裁事项"/>
        <w:tag w:val="_GBC_0fcf1cd2d0814185bde747855edf5227"/>
        <w:id w:val="25153718"/>
        <w:lock w:val="sdtLocked"/>
        <w:placeholder>
          <w:docPart w:val="GBC22222222222222222222222222222"/>
        </w:placeholder>
      </w:sdtPr>
      <w:sdtContent>
        <w:p>
          <w:pPr>
            <w:pStyle w:val="76"/>
          </w:pPr>
          <w:r>
            <w:fldChar w:fldCharType="begin"/>
          </w:r>
          <w:r>
            <w:instrText xml:space="preserve"> MACROBUTTON  SnrToggleCheckbox □本报告期公司有重大诉讼、仲裁事项 </w:instrText>
          </w:r>
          <w:r>
            <w:fldChar w:fldCharType="end"/>
          </w:r>
          <w:r>
            <w:fldChar w:fldCharType="begin"/>
          </w:r>
          <w:r>
            <w:instrText xml:space="preserve"> MACROBUTTON  SnrToggleCheckbox □本报告期公司无重大诉讼、仲裁事项 </w:instrText>
          </w:r>
          <w:r>
            <w:fldChar w:fldCharType="end"/>
          </w:r>
        </w:p>
      </w:sdtContent>
    </w:sdt>
    <w:sdt>
      <w:sdtPr>
        <w:rPr>
          <w:b w:val="0"/>
          <w:bCs w:val="0"/>
          <w:szCs w:val="22"/>
        </w:rPr>
        <w:alias w:val="模块:诉讼、仲裁事项已在临时公告披露且无后续进展的"/>
        <w:tag w:val="_SEC_902756a755994b00b80a02d3baa0ea44"/>
        <w:id w:val="25153720"/>
        <w:lock w:val="sdtLocked"/>
        <w:placeholder>
          <w:docPart w:val="GBC22222222222222222222222222222"/>
        </w:placeholder>
      </w:sdtPr>
      <w:sdtEndPr>
        <w:rPr>
          <w:rFonts w:hint="eastAsia" w:asciiTheme="minorEastAsia" w:hAnsiTheme="minorEastAsia"/>
          <w:b w:val="0"/>
          <w:bCs w:val="0"/>
          <w:szCs w:val="21"/>
        </w:rPr>
      </w:sdtEndPr>
      <w:sdtContent>
        <w:p>
          <w:pPr>
            <w:pStyle w:val="4"/>
            <w:numPr>
              <w:ilvl w:val="0"/>
              <w:numId w:val="17"/>
            </w:numPr>
          </w:pPr>
          <w:r>
            <w:t>诉讼、仲裁事项已在临时公告披露且无后续进展的</w:t>
          </w:r>
        </w:p>
        <w:sdt>
          <w:sdtPr>
            <w:alias w:val="是否适用：诉讼、仲裁事项已在临时公告披露且无后续进展的[双击切换]"/>
            <w:tag w:val="_GBC_1c7697ff89954de38b9736575b9b7dc9"/>
            <w:id w:val="25153719"/>
            <w:lock w:val="sdtContentLocked"/>
            <w:placeholder>
              <w:docPart w:val="GBC22222222222222222222222222222"/>
            </w:placeholder>
          </w:sdtPr>
          <w:sdtContent>
            <w:p>
              <w:pPr>
                <w:rPr>
                  <w:rFonts w:asciiTheme="minorEastAsia" w:hAnsi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b w:val="0"/>
          <w:bCs w:val="0"/>
          <w:szCs w:val="22"/>
        </w:rPr>
        <w:alias w:val="模块:临时公告未披露或有后续进展的诉讼、仲裁情况"/>
        <w:tag w:val="_SEC_85376178a04b46fb90efc5d6fa2e6a28"/>
        <w:id w:val="25153738"/>
        <w:lock w:val="sdtLocked"/>
        <w:placeholder>
          <w:docPart w:val="GBC22222222222222222222222222222"/>
        </w:placeholder>
      </w:sdtPr>
      <w:sdtEndPr>
        <w:rPr>
          <w:rFonts w:hint="eastAsia"/>
          <w:b w:val="0"/>
          <w:bCs w:val="0"/>
          <w:szCs w:val="21"/>
        </w:rPr>
      </w:sdtEndPr>
      <w:sdtContent>
        <w:p>
          <w:pPr>
            <w:pStyle w:val="4"/>
            <w:numPr>
              <w:ilvl w:val="0"/>
              <w:numId w:val="17"/>
            </w:numPr>
          </w:pPr>
          <w:r>
            <w:t>临时公告未披露或有后续进展的诉讼、仲裁情况</w:t>
          </w:r>
        </w:p>
        <w:sdt>
          <w:sdtPr>
            <w:alias w:val="是否适用：临时公告未披露或有后续进展的诉讼、仲裁情况[双击切换]"/>
            <w:tag w:val="_GBC_3f59cc6ee3354630821313bac686c029"/>
            <w:id w:val="2515372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重大诉讼仲裁事项"/>
              <w:tag w:val="_GBC_ab5a46f4fd35408cba7d05de7b668fac"/>
              <w:id w:val="251537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重大诉讼仲裁事项"/>
              <w:tag w:val="_GBC_67f8b933111740f4867b07d27cbb7862"/>
              <w:id w:val="25153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53"/>
            <w:gridCol w:w="345"/>
            <w:gridCol w:w="709"/>
            <w:gridCol w:w="1559"/>
            <w:gridCol w:w="1001"/>
            <w:gridCol w:w="842"/>
            <w:gridCol w:w="1276"/>
            <w:gridCol w:w="114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542ec69aa4ef4bfab0931fd1db76a6ba"/>
                <w:id w:val="25153724"/>
                <w:lock w:val="sdtLocked"/>
              </w:sdtPr>
              <w:sdtEndPr>
                <w:rPr>
                  <w:rFonts w:ascii="Times New Roman" w:hAnsi="Times New Roman"/>
                  <w:sz w:val="18"/>
                  <w:szCs w:val="18"/>
                </w:rPr>
              </w:sdtEndPr>
              <w:sdtContent>
                <w:tc>
                  <w:tcPr>
                    <w:tcW w:w="9049" w:type="dxa"/>
                    <w:gridSpan w:val="10"/>
                  </w:tcPr>
                  <w:p>
                    <w:pPr>
                      <w:widowControl w:val="0"/>
                      <w:jc w:val="both"/>
                      <w:rPr>
                        <w:sz w:val="18"/>
                        <w:szCs w:val="18"/>
                      </w:rPr>
                    </w:pPr>
                    <w:r>
                      <w:rPr>
                        <w:rFonts w:hint="eastAsia"/>
                        <w:sz w:val="18"/>
                        <w:szCs w:val="18"/>
                      </w:rPr>
                      <w:t>报告期内: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65530f9e2c974c4caf9f0a8143274a84"/>
                <w:id w:val="25153725"/>
                <w:lock w:val="sdtLocked"/>
              </w:sdtPr>
              <w:sdtEndPr>
                <w:rPr>
                  <w:rFonts w:ascii="Times New Roman" w:hAnsi="Times New Roman"/>
                  <w:sz w:val="18"/>
                  <w:szCs w:val="18"/>
                </w:rPr>
              </w:sdtEndPr>
              <w:sdtContent>
                <w:tc>
                  <w:tcPr>
                    <w:tcW w:w="711" w:type="dxa"/>
                    <w:vAlign w:val="center"/>
                  </w:tcPr>
                  <w:p>
                    <w:pPr>
                      <w:widowControl w:val="0"/>
                      <w:jc w:val="center"/>
                      <w:rPr>
                        <w:sz w:val="18"/>
                        <w:szCs w:val="18"/>
                      </w:rPr>
                    </w:pPr>
                    <w:r>
                      <w:rPr>
                        <w:sz w:val="18"/>
                        <w:szCs w:val="18"/>
                      </w:rPr>
                      <w:t>起诉(申请)方</w:t>
                    </w:r>
                  </w:p>
                </w:tc>
              </w:sdtContent>
            </w:sdt>
            <w:sdt>
              <w:sdtPr>
                <w:rPr>
                  <w:rFonts w:ascii="Times New Roman" w:hAnsi="Times New Roman"/>
                  <w:sz w:val="18"/>
                  <w:szCs w:val="18"/>
                </w:rPr>
                <w:tag w:val="_PLD_199b4615ac594ea49e4ae790f9604175"/>
                <w:id w:val="25153726"/>
                <w:lock w:val="sdtLocked"/>
              </w:sdtPr>
              <w:sdtEndPr>
                <w:rPr>
                  <w:rFonts w:ascii="Times New Roman" w:hAnsi="Times New Roman"/>
                  <w:sz w:val="18"/>
                  <w:szCs w:val="18"/>
                </w:rPr>
              </w:sdtEndPr>
              <w:sdtContent>
                <w:tc>
                  <w:tcPr>
                    <w:tcW w:w="753" w:type="dxa"/>
                    <w:vAlign w:val="center"/>
                  </w:tcPr>
                  <w:p>
                    <w:pPr>
                      <w:widowControl w:val="0"/>
                      <w:jc w:val="center"/>
                      <w:rPr>
                        <w:sz w:val="18"/>
                        <w:szCs w:val="18"/>
                      </w:rPr>
                    </w:pPr>
                    <w:r>
                      <w:rPr>
                        <w:sz w:val="18"/>
                        <w:szCs w:val="18"/>
                      </w:rPr>
                      <w:t>应诉（被申请</w:t>
                    </w:r>
                    <w:r>
                      <w:rPr>
                        <w:rFonts w:hint="eastAsia"/>
                        <w:sz w:val="18"/>
                        <w:szCs w:val="18"/>
                      </w:rPr>
                      <w:t>）</w:t>
                    </w:r>
                    <w:r>
                      <w:rPr>
                        <w:sz w:val="18"/>
                        <w:szCs w:val="18"/>
                      </w:rPr>
                      <w:t>方</w:t>
                    </w:r>
                  </w:p>
                </w:tc>
              </w:sdtContent>
            </w:sdt>
            <w:sdt>
              <w:sdtPr>
                <w:rPr>
                  <w:rFonts w:ascii="Times New Roman" w:hAnsi="Times New Roman"/>
                  <w:sz w:val="18"/>
                  <w:szCs w:val="18"/>
                </w:rPr>
                <w:tag w:val="_PLD_40e0da63dc8243ccadfed7bf52b93f8b"/>
                <w:id w:val="25153727"/>
                <w:lock w:val="sdtLocked"/>
              </w:sdtPr>
              <w:sdtEndPr>
                <w:rPr>
                  <w:rFonts w:ascii="Times New Roman" w:hAnsi="Times New Roman"/>
                  <w:sz w:val="18"/>
                  <w:szCs w:val="18"/>
                </w:rPr>
              </w:sdtEndPr>
              <w:sdtContent>
                <w:tc>
                  <w:tcPr>
                    <w:tcW w:w="345" w:type="dxa"/>
                    <w:vAlign w:val="center"/>
                  </w:tcPr>
                  <w:p>
                    <w:pPr>
                      <w:widowControl w:val="0"/>
                      <w:jc w:val="center"/>
                      <w:rPr>
                        <w:sz w:val="18"/>
                        <w:szCs w:val="18"/>
                      </w:rPr>
                    </w:pPr>
                    <w:r>
                      <w:rPr>
                        <w:sz w:val="18"/>
                        <w:szCs w:val="18"/>
                      </w:rPr>
                      <w:t>承担连带责任方</w:t>
                    </w:r>
                  </w:p>
                </w:tc>
              </w:sdtContent>
            </w:sdt>
            <w:sdt>
              <w:sdtPr>
                <w:rPr>
                  <w:rFonts w:ascii="Times New Roman" w:hAnsi="Times New Roman"/>
                  <w:sz w:val="18"/>
                  <w:szCs w:val="18"/>
                </w:rPr>
                <w:tag w:val="_PLD_46f93380e03f45adbc91c2ab3774798c"/>
                <w:id w:val="25153728"/>
                <w:lock w:val="sdtLocked"/>
              </w:sdtPr>
              <w:sdtEndPr>
                <w:rPr>
                  <w:rFonts w:ascii="Times New Roman" w:hAnsi="Times New Roman"/>
                  <w:sz w:val="18"/>
                  <w:szCs w:val="18"/>
                </w:rPr>
              </w:sdtEndPr>
              <w:sdtContent>
                <w:tc>
                  <w:tcPr>
                    <w:tcW w:w="709" w:type="dxa"/>
                    <w:vAlign w:val="center"/>
                  </w:tcPr>
                  <w:p>
                    <w:pPr>
                      <w:widowControl w:val="0"/>
                      <w:jc w:val="center"/>
                      <w:rPr>
                        <w:sz w:val="18"/>
                        <w:szCs w:val="18"/>
                      </w:rPr>
                    </w:pPr>
                    <w:r>
                      <w:rPr>
                        <w:sz w:val="18"/>
                        <w:szCs w:val="18"/>
                      </w:rPr>
                      <w:t>诉讼仲裁类型</w:t>
                    </w:r>
                  </w:p>
                </w:tc>
              </w:sdtContent>
            </w:sdt>
            <w:sdt>
              <w:sdtPr>
                <w:rPr>
                  <w:rFonts w:ascii="Times New Roman" w:hAnsi="Times New Roman"/>
                  <w:sz w:val="18"/>
                  <w:szCs w:val="18"/>
                </w:rPr>
                <w:tag w:val="_PLD_29743bdc16de45d8a3449747b5605f16"/>
                <w:id w:val="25153729"/>
                <w:lock w:val="sdtLocked"/>
              </w:sdtPr>
              <w:sdtEndPr>
                <w:rPr>
                  <w:rFonts w:ascii="Times New Roman" w:hAnsi="Times New Roman"/>
                  <w:sz w:val="18"/>
                  <w:szCs w:val="18"/>
                </w:rPr>
              </w:sdtEndPr>
              <w:sdtContent>
                <w:tc>
                  <w:tcPr>
                    <w:tcW w:w="1559" w:type="dxa"/>
                    <w:vAlign w:val="center"/>
                  </w:tcPr>
                  <w:p>
                    <w:pPr>
                      <w:widowControl w:val="0"/>
                      <w:jc w:val="center"/>
                      <w:rPr>
                        <w:sz w:val="18"/>
                        <w:szCs w:val="18"/>
                      </w:rPr>
                    </w:pPr>
                    <w:r>
                      <w:rPr>
                        <w:sz w:val="18"/>
                        <w:szCs w:val="18"/>
                      </w:rPr>
                      <w:t>诉讼(仲裁)基本情况</w:t>
                    </w:r>
                  </w:p>
                </w:tc>
              </w:sdtContent>
            </w:sdt>
            <w:sdt>
              <w:sdtPr>
                <w:rPr>
                  <w:rFonts w:ascii="Times New Roman" w:hAnsi="Times New Roman"/>
                  <w:sz w:val="18"/>
                  <w:szCs w:val="18"/>
                </w:rPr>
                <w:tag w:val="_PLD_cc4909272128469b9b9eb68f21f24563"/>
                <w:id w:val="25153730"/>
                <w:lock w:val="sdtLocked"/>
              </w:sdtPr>
              <w:sdtEndPr>
                <w:rPr>
                  <w:rFonts w:ascii="Times New Roman" w:hAnsi="Times New Roman"/>
                  <w:sz w:val="18"/>
                  <w:szCs w:val="18"/>
                </w:rPr>
              </w:sdtEndPr>
              <w:sdtContent>
                <w:tc>
                  <w:tcPr>
                    <w:tcW w:w="1001" w:type="dxa"/>
                    <w:vAlign w:val="center"/>
                  </w:tcPr>
                  <w:p>
                    <w:pPr>
                      <w:widowControl w:val="0"/>
                      <w:jc w:val="center"/>
                      <w:rPr>
                        <w:sz w:val="18"/>
                        <w:szCs w:val="18"/>
                      </w:rPr>
                    </w:pPr>
                    <w:r>
                      <w:rPr>
                        <w:sz w:val="18"/>
                        <w:szCs w:val="18"/>
                      </w:rPr>
                      <w:t>诉讼(仲裁)涉及金额</w:t>
                    </w:r>
                  </w:p>
                </w:tc>
              </w:sdtContent>
            </w:sdt>
            <w:sdt>
              <w:sdtPr>
                <w:rPr>
                  <w:rFonts w:ascii="Times New Roman" w:hAnsi="Times New Roman"/>
                  <w:sz w:val="18"/>
                  <w:szCs w:val="18"/>
                </w:rPr>
                <w:tag w:val="_PLD_314be9ce30c646b1a34851dbc8c947ff"/>
                <w:id w:val="25153731"/>
                <w:lock w:val="sdtLocked"/>
              </w:sdtPr>
              <w:sdtEndPr>
                <w:rPr>
                  <w:rFonts w:ascii="Times New Roman" w:hAnsi="Times New Roman"/>
                  <w:sz w:val="18"/>
                  <w:szCs w:val="18"/>
                </w:rPr>
              </w:sdtEndPr>
              <w:sdtContent>
                <w:tc>
                  <w:tcPr>
                    <w:tcW w:w="842" w:type="dxa"/>
                    <w:vAlign w:val="center"/>
                  </w:tcPr>
                  <w:p>
                    <w:pPr>
                      <w:widowControl w:val="0"/>
                      <w:jc w:val="center"/>
                      <w:rPr>
                        <w:sz w:val="18"/>
                        <w:szCs w:val="18"/>
                      </w:rPr>
                    </w:pPr>
                    <w:r>
                      <w:rPr>
                        <w:sz w:val="18"/>
                        <w:szCs w:val="18"/>
                      </w:rPr>
                      <w:t>诉讼(仲裁)是否形成预计负债及金额</w:t>
                    </w:r>
                  </w:p>
                </w:tc>
              </w:sdtContent>
            </w:sdt>
            <w:sdt>
              <w:sdtPr>
                <w:rPr>
                  <w:rFonts w:ascii="Times New Roman" w:hAnsi="Times New Roman"/>
                  <w:sz w:val="18"/>
                  <w:szCs w:val="18"/>
                </w:rPr>
                <w:tag w:val="_PLD_27f3a3c3699f4caaa599fe2ff85e043a"/>
                <w:id w:val="25153732"/>
                <w:lock w:val="sdtLocked"/>
              </w:sdtPr>
              <w:sdtEndPr>
                <w:rPr>
                  <w:rFonts w:ascii="Times New Roman" w:hAnsi="Times New Roman"/>
                  <w:sz w:val="18"/>
                  <w:szCs w:val="18"/>
                </w:rPr>
              </w:sdtEndPr>
              <w:sdtContent>
                <w:tc>
                  <w:tcPr>
                    <w:tcW w:w="1276" w:type="dxa"/>
                    <w:vAlign w:val="center"/>
                  </w:tcPr>
                  <w:p>
                    <w:pPr>
                      <w:widowControl w:val="0"/>
                      <w:jc w:val="center"/>
                      <w:rPr>
                        <w:sz w:val="18"/>
                        <w:szCs w:val="18"/>
                      </w:rPr>
                    </w:pPr>
                    <w:r>
                      <w:rPr>
                        <w:sz w:val="18"/>
                        <w:szCs w:val="18"/>
                      </w:rPr>
                      <w:t>诉讼(仲裁)进展情况</w:t>
                    </w:r>
                  </w:p>
                </w:tc>
              </w:sdtContent>
            </w:sdt>
            <w:sdt>
              <w:sdtPr>
                <w:rPr>
                  <w:rFonts w:ascii="Times New Roman" w:hAnsi="Times New Roman"/>
                  <w:sz w:val="18"/>
                  <w:szCs w:val="18"/>
                </w:rPr>
                <w:tag w:val="_PLD_670326cb24854b3a8bee381fa766735a"/>
                <w:id w:val="25153733"/>
                <w:lock w:val="sdtLocked"/>
              </w:sdtPr>
              <w:sdtEndPr>
                <w:rPr>
                  <w:rFonts w:ascii="Times New Roman" w:hAnsi="Times New Roman"/>
                  <w:sz w:val="18"/>
                  <w:szCs w:val="18"/>
                </w:rPr>
              </w:sdtEndPr>
              <w:sdtContent>
                <w:tc>
                  <w:tcPr>
                    <w:tcW w:w="1141" w:type="dxa"/>
                    <w:vAlign w:val="center"/>
                  </w:tcPr>
                  <w:p>
                    <w:pPr>
                      <w:widowControl w:val="0"/>
                      <w:jc w:val="center"/>
                      <w:rPr>
                        <w:sz w:val="18"/>
                        <w:szCs w:val="18"/>
                      </w:rPr>
                    </w:pPr>
                    <w:r>
                      <w:rPr>
                        <w:sz w:val="18"/>
                        <w:szCs w:val="18"/>
                      </w:rPr>
                      <w:t>诉讼(仲裁)审理结果及影响</w:t>
                    </w:r>
                  </w:p>
                </w:tc>
              </w:sdtContent>
            </w:sdt>
            <w:sdt>
              <w:sdtPr>
                <w:rPr>
                  <w:rFonts w:ascii="Times New Roman" w:hAnsi="Times New Roman"/>
                  <w:sz w:val="18"/>
                  <w:szCs w:val="18"/>
                </w:rPr>
                <w:tag w:val="_PLD_4b3c312c6ff54512a58be0ff5dc57e46"/>
                <w:id w:val="25153734"/>
                <w:lock w:val="sdtLocked"/>
              </w:sdtPr>
              <w:sdtEndPr>
                <w:rPr>
                  <w:rFonts w:ascii="Times New Roman" w:hAnsi="Times New Roman"/>
                  <w:sz w:val="18"/>
                  <w:szCs w:val="18"/>
                </w:rPr>
              </w:sdtEndPr>
              <w:sdtContent>
                <w:tc>
                  <w:tcPr>
                    <w:tcW w:w="712" w:type="dxa"/>
                    <w:vAlign w:val="center"/>
                  </w:tcPr>
                  <w:p>
                    <w:pPr>
                      <w:widowControl w:val="0"/>
                      <w:jc w:val="center"/>
                      <w:rPr>
                        <w:sz w:val="18"/>
                        <w:szCs w:val="18"/>
                      </w:rPr>
                    </w:pPr>
                    <w:r>
                      <w:rPr>
                        <w:sz w:val="18"/>
                        <w:szCs w:val="18"/>
                      </w:rPr>
                      <w:t>诉讼(仲裁)判决执行情况</w:t>
                    </w:r>
                  </w:p>
                </w:tc>
              </w:sdtContent>
            </w:sdt>
          </w:tr>
          <w:sdt>
            <w:sdtPr>
              <w:rPr>
                <w:rFonts w:hint="eastAsia" w:ascii="Calibri" w:hAnsi="Calibri" w:eastAsiaTheme="minorEastAsia" w:cstheme="minorBidi"/>
                <w:kern w:val="2"/>
                <w:sz w:val="18"/>
                <w:szCs w:val="18"/>
              </w:rPr>
              <w:alias w:val="重大诉讼、仲裁事项"/>
              <w:tag w:val="_TUP_234d07ec13744d019fad4109a2500e1c"/>
              <w:id w:val="25153735"/>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Pr>
                  <w:p>
                    <w:pPr>
                      <w:widowControl w:val="0"/>
                      <w:jc w:val="left"/>
                      <w:rPr>
                        <w:sz w:val="18"/>
                        <w:szCs w:val="18"/>
                      </w:rPr>
                    </w:pPr>
                    <w:r>
                      <w:rPr>
                        <w:sz w:val="18"/>
                        <w:szCs w:val="18"/>
                      </w:rPr>
                      <w:t>柳钢股份</w:t>
                    </w:r>
                  </w:p>
                </w:tc>
                <w:tc>
                  <w:tcPr>
                    <w:tcW w:w="753" w:type="dxa"/>
                  </w:tcPr>
                  <w:p>
                    <w:pPr>
                      <w:widowControl w:val="0"/>
                      <w:jc w:val="left"/>
                      <w:rPr>
                        <w:sz w:val="18"/>
                        <w:szCs w:val="18"/>
                      </w:rPr>
                    </w:pPr>
                    <w:r>
                      <w:rPr>
                        <w:sz w:val="18"/>
                        <w:szCs w:val="18"/>
                      </w:rPr>
                      <w:t>华夏银行股份有限公司南宁青秀支行、广西利澳贸易有限公司</w:t>
                    </w:r>
                  </w:p>
                </w:tc>
                <w:tc>
                  <w:tcPr>
                    <w:tcW w:w="345" w:type="dxa"/>
                  </w:tcPr>
                  <w:p>
                    <w:pPr>
                      <w:widowControl w:val="0"/>
                      <w:jc w:val="left"/>
                      <w:rPr>
                        <w:sz w:val="18"/>
                        <w:szCs w:val="18"/>
                      </w:rPr>
                    </w:pPr>
                    <w:r>
                      <w:rPr>
                        <w:sz w:val="18"/>
                        <w:szCs w:val="18"/>
                      </w:rPr>
                      <w:t>无</w:t>
                    </w:r>
                  </w:p>
                </w:tc>
                <w:tc>
                  <w:tcPr>
                    <w:tcW w:w="709" w:type="dxa"/>
                  </w:tcPr>
                  <w:p>
                    <w:pPr>
                      <w:widowControl w:val="0"/>
                      <w:jc w:val="left"/>
                      <w:rPr>
                        <w:sz w:val="18"/>
                        <w:szCs w:val="18"/>
                      </w:rPr>
                    </w:pPr>
                    <w:r>
                      <w:rPr>
                        <w:sz w:val="18"/>
                        <w:szCs w:val="18"/>
                      </w:rPr>
                      <w:t>票据合同纠纷</w:t>
                    </w:r>
                  </w:p>
                </w:tc>
                <w:tc>
                  <w:tcPr>
                    <w:tcW w:w="1559" w:type="dxa"/>
                  </w:tcPr>
                  <w:p>
                    <w:pPr>
                      <w:widowControl w:val="0"/>
                      <w:jc w:val="left"/>
                      <w:rPr>
                        <w:sz w:val="18"/>
                        <w:szCs w:val="18"/>
                      </w:rPr>
                    </w:pPr>
                    <w:r>
                      <w:rPr>
                        <w:sz w:val="18"/>
                        <w:szCs w:val="18"/>
                      </w:rPr>
                      <w:t>柳钢股份诉华夏银行股份有限公司南宁青秀支行、广西利澳贸易有限公司票据合同纠纷</w:t>
                    </w:r>
                  </w:p>
                </w:tc>
                <w:tc>
                  <w:tcPr>
                    <w:tcW w:w="1001" w:type="dxa"/>
                  </w:tcPr>
                  <w:p>
                    <w:pPr>
                      <w:widowControl w:val="0"/>
                      <w:jc w:val="right"/>
                      <w:rPr>
                        <w:sz w:val="18"/>
                        <w:szCs w:val="18"/>
                      </w:rPr>
                    </w:pPr>
                    <w:r>
                      <w:rPr>
                        <w:sz w:val="18"/>
                        <w:szCs w:val="18"/>
                      </w:rPr>
                      <w:t>1,700.00</w:t>
                    </w:r>
                  </w:p>
                </w:tc>
                <w:tc>
                  <w:tcPr>
                    <w:tcW w:w="842" w:type="dxa"/>
                  </w:tcPr>
                  <w:p>
                    <w:pPr>
                      <w:widowControl w:val="0"/>
                      <w:jc w:val="left"/>
                      <w:rPr>
                        <w:sz w:val="18"/>
                        <w:szCs w:val="18"/>
                      </w:rPr>
                    </w:pPr>
                    <w:r>
                      <w:rPr>
                        <w:sz w:val="18"/>
                        <w:szCs w:val="18"/>
                      </w:rPr>
                      <w:t>否</w:t>
                    </w:r>
                  </w:p>
                </w:tc>
                <w:tc>
                  <w:tcPr>
                    <w:tcW w:w="1276" w:type="dxa"/>
                  </w:tcPr>
                  <w:p>
                    <w:pPr>
                      <w:widowControl w:val="0"/>
                      <w:jc w:val="left"/>
                      <w:rPr>
                        <w:sz w:val="18"/>
                        <w:szCs w:val="18"/>
                      </w:rPr>
                    </w:pPr>
                    <w:r>
                      <w:rPr>
                        <w:sz w:val="18"/>
                        <w:szCs w:val="18"/>
                      </w:rPr>
                      <w:t>南宁中院已作出终审判决，撤销南宁青秀区法院一审判决，判决华夏银行南宁青秀支行在10日内承担支付票款责任和利息，并承担本案诉讼费用。目前尚未申请强制执行。</w:t>
                    </w:r>
                  </w:p>
                </w:tc>
                <w:tc>
                  <w:tcPr>
                    <w:tcW w:w="1141" w:type="dxa"/>
                  </w:tcPr>
                  <w:p>
                    <w:pPr>
                      <w:widowControl w:val="0"/>
                      <w:jc w:val="left"/>
                      <w:rPr>
                        <w:sz w:val="18"/>
                        <w:szCs w:val="18"/>
                      </w:rPr>
                    </w:pPr>
                    <w:r>
                      <w:rPr>
                        <w:sz w:val="18"/>
                        <w:szCs w:val="18"/>
                      </w:rPr>
                      <w:t>截至2017年12月31日柳钢股份应收广西利澳贸易有限公司款项金额17,000,000.00元，已全额计提坏账。</w:t>
                    </w:r>
                  </w:p>
                </w:tc>
                <w:tc>
                  <w:tcPr>
                    <w:tcW w:w="712" w:type="dxa"/>
                  </w:tcPr>
                  <w:p>
                    <w:pPr>
                      <w:widowControl w:val="0"/>
                      <w:jc w:val="left"/>
                      <w:rPr>
                        <w:sz w:val="18"/>
                        <w:szCs w:val="18"/>
                      </w:rPr>
                    </w:pPr>
                    <w:r>
                      <w:rPr>
                        <w:sz w:val="18"/>
                        <w:szCs w:val="18"/>
                      </w:rPr>
                      <w:t>已判决</w:t>
                    </w:r>
                  </w:p>
                </w:tc>
              </w:tr>
            </w:sdtContent>
          </w:sdt>
          <w:sdt>
            <w:sdtPr>
              <w:rPr>
                <w:rFonts w:hint="eastAsia" w:ascii="Calibri" w:hAnsi="Calibri" w:eastAsiaTheme="minorEastAsia" w:cstheme="minorBidi"/>
                <w:kern w:val="2"/>
                <w:sz w:val="18"/>
                <w:szCs w:val="18"/>
              </w:rPr>
              <w:alias w:val="重大诉讼、仲裁事项"/>
              <w:tag w:val="_TUP_234d07ec13744d019fad4109a2500e1c"/>
              <w:id w:val="25153736"/>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Pr>
                  <w:p>
                    <w:pPr>
                      <w:widowControl w:val="0"/>
                      <w:jc w:val="left"/>
                      <w:rPr>
                        <w:sz w:val="18"/>
                        <w:szCs w:val="18"/>
                      </w:rPr>
                    </w:pPr>
                    <w:r>
                      <w:rPr>
                        <w:sz w:val="18"/>
                        <w:szCs w:val="18"/>
                      </w:rPr>
                      <w:t>工商银行衡阳分行</w:t>
                    </w:r>
                  </w:p>
                </w:tc>
                <w:tc>
                  <w:tcPr>
                    <w:tcW w:w="753" w:type="dxa"/>
                  </w:tcPr>
                  <w:p>
                    <w:pPr>
                      <w:widowControl w:val="0"/>
                      <w:jc w:val="left"/>
                      <w:rPr>
                        <w:sz w:val="18"/>
                        <w:szCs w:val="18"/>
                      </w:rPr>
                    </w:pPr>
                    <w:r>
                      <w:rPr>
                        <w:sz w:val="18"/>
                        <w:szCs w:val="18"/>
                      </w:rPr>
                      <w:t>湖南衡阳泽丰园公司</w:t>
                    </w:r>
                  </w:p>
                </w:tc>
                <w:tc>
                  <w:tcPr>
                    <w:tcW w:w="345" w:type="dxa"/>
                  </w:tcPr>
                  <w:p>
                    <w:pPr>
                      <w:widowControl w:val="0"/>
                      <w:jc w:val="left"/>
                      <w:rPr>
                        <w:sz w:val="18"/>
                        <w:szCs w:val="18"/>
                      </w:rPr>
                    </w:pPr>
                    <w:r>
                      <w:rPr>
                        <w:sz w:val="18"/>
                        <w:szCs w:val="18"/>
                      </w:rPr>
                      <w:t>柳钢瑞昱国贸公司柳钢股份</w:t>
                    </w:r>
                  </w:p>
                </w:tc>
                <w:tc>
                  <w:tcPr>
                    <w:tcW w:w="709" w:type="dxa"/>
                  </w:tcPr>
                  <w:p>
                    <w:pPr>
                      <w:widowControl w:val="0"/>
                      <w:jc w:val="left"/>
                      <w:rPr>
                        <w:sz w:val="18"/>
                        <w:szCs w:val="18"/>
                      </w:rPr>
                    </w:pPr>
                    <w:r>
                      <w:rPr>
                        <w:sz w:val="18"/>
                        <w:szCs w:val="18"/>
                      </w:rPr>
                      <w:t>金融借款合同纠纷</w:t>
                    </w:r>
                  </w:p>
                </w:tc>
                <w:tc>
                  <w:tcPr>
                    <w:tcW w:w="1559" w:type="dxa"/>
                  </w:tcPr>
                  <w:p>
                    <w:pPr>
                      <w:widowControl w:val="0"/>
                      <w:jc w:val="left"/>
                      <w:rPr>
                        <w:sz w:val="18"/>
                        <w:szCs w:val="18"/>
                      </w:rPr>
                    </w:pPr>
                    <w:r>
                      <w:rPr>
                        <w:sz w:val="18"/>
                        <w:szCs w:val="18"/>
                      </w:rPr>
                      <w:t>要求柳钢瑞昱国贸公司、柳钢股份向工商银行衡阳分行支付泽丰园公司的应收账款</w:t>
                    </w:r>
                  </w:p>
                </w:tc>
                <w:tc>
                  <w:tcPr>
                    <w:tcW w:w="1001" w:type="dxa"/>
                  </w:tcPr>
                  <w:p>
                    <w:pPr>
                      <w:widowControl w:val="0"/>
                      <w:jc w:val="right"/>
                      <w:rPr>
                        <w:sz w:val="18"/>
                        <w:szCs w:val="18"/>
                      </w:rPr>
                    </w:pPr>
                    <w:r>
                      <w:rPr>
                        <w:sz w:val="18"/>
                        <w:szCs w:val="18"/>
                      </w:rPr>
                      <w:t>2,762.8</w:t>
                    </w:r>
                  </w:p>
                </w:tc>
                <w:tc>
                  <w:tcPr>
                    <w:tcW w:w="842" w:type="dxa"/>
                  </w:tcPr>
                  <w:p>
                    <w:pPr>
                      <w:widowControl w:val="0"/>
                      <w:jc w:val="left"/>
                      <w:rPr>
                        <w:sz w:val="18"/>
                        <w:szCs w:val="18"/>
                      </w:rPr>
                    </w:pPr>
                    <w:r>
                      <w:rPr>
                        <w:sz w:val="18"/>
                        <w:szCs w:val="18"/>
                      </w:rPr>
                      <w:t>　</w:t>
                    </w:r>
                    <w:r>
                      <w:rPr>
                        <w:rFonts w:hint="eastAsia"/>
                        <w:sz w:val="18"/>
                        <w:szCs w:val="18"/>
                      </w:rPr>
                      <w:t>否</w:t>
                    </w:r>
                  </w:p>
                </w:tc>
                <w:tc>
                  <w:tcPr>
                    <w:tcW w:w="1276" w:type="dxa"/>
                  </w:tcPr>
                  <w:p>
                    <w:pPr>
                      <w:widowControl w:val="0"/>
                      <w:jc w:val="left"/>
                      <w:rPr>
                        <w:sz w:val="18"/>
                        <w:szCs w:val="18"/>
                      </w:rPr>
                    </w:pPr>
                    <w:r>
                      <w:rPr>
                        <w:sz w:val="18"/>
                        <w:szCs w:val="18"/>
                      </w:rPr>
                      <w:t>工商银行不服一审判决，向衡阳中院上诉，本案二审已开庭，目前在审理中。</w:t>
                    </w:r>
                  </w:p>
                </w:tc>
                <w:tc>
                  <w:tcPr>
                    <w:tcW w:w="1141" w:type="dxa"/>
                  </w:tcPr>
                  <w:p>
                    <w:pPr>
                      <w:widowControl w:val="0"/>
                      <w:jc w:val="left"/>
                      <w:rPr>
                        <w:sz w:val="18"/>
                        <w:szCs w:val="18"/>
                      </w:rPr>
                    </w:pPr>
                    <w:r>
                      <w:rPr>
                        <w:sz w:val="18"/>
                        <w:szCs w:val="18"/>
                      </w:rPr>
                      <w:t>审理中</w:t>
                    </w:r>
                  </w:p>
                </w:tc>
                <w:tc>
                  <w:tcPr>
                    <w:tcW w:w="712" w:type="dxa"/>
                  </w:tcPr>
                  <w:p>
                    <w:pPr>
                      <w:widowControl w:val="0"/>
                      <w:jc w:val="left"/>
                      <w:rPr>
                        <w:sz w:val="18"/>
                        <w:szCs w:val="18"/>
                      </w:rPr>
                    </w:pPr>
                    <w:r>
                      <w:rPr>
                        <w:sz w:val="18"/>
                        <w:szCs w:val="18"/>
                      </w:rPr>
                      <w:t> </w:t>
                    </w:r>
                  </w:p>
                </w:tc>
              </w:tr>
            </w:sdtContent>
          </w:sdt>
          <w:sdt>
            <w:sdtPr>
              <w:rPr>
                <w:rFonts w:hint="eastAsia" w:ascii="Calibri" w:hAnsi="Calibri" w:eastAsiaTheme="minorEastAsia" w:cstheme="minorBidi"/>
                <w:kern w:val="2"/>
                <w:sz w:val="18"/>
                <w:szCs w:val="18"/>
              </w:rPr>
              <w:alias w:val="重大诉讼、仲裁事项"/>
              <w:tag w:val="_TUP_234d07ec13744d019fad4109a2500e1c"/>
              <w:id w:val="25153737"/>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Pr>
                  <w:p>
                    <w:pPr>
                      <w:widowControl w:val="0"/>
                      <w:jc w:val="left"/>
                      <w:rPr>
                        <w:sz w:val="18"/>
                        <w:szCs w:val="18"/>
                      </w:rPr>
                    </w:pPr>
                    <w:r>
                      <w:rPr>
                        <w:sz w:val="18"/>
                        <w:szCs w:val="18"/>
                      </w:rPr>
                      <w:t>柳钢股份</w:t>
                    </w:r>
                  </w:p>
                </w:tc>
                <w:tc>
                  <w:tcPr>
                    <w:tcW w:w="753" w:type="dxa"/>
                  </w:tcPr>
                  <w:p>
                    <w:pPr>
                      <w:widowControl w:val="0"/>
                      <w:jc w:val="left"/>
                      <w:rPr>
                        <w:sz w:val="18"/>
                        <w:szCs w:val="18"/>
                      </w:rPr>
                    </w:pPr>
                    <w:r>
                      <w:rPr>
                        <w:sz w:val="18"/>
                        <w:szCs w:val="18"/>
                      </w:rPr>
                      <w:t>厦门拓兴成集团有限责任公司</w:t>
                    </w:r>
                  </w:p>
                </w:tc>
                <w:tc>
                  <w:tcPr>
                    <w:tcW w:w="345" w:type="dxa"/>
                  </w:tcPr>
                  <w:p>
                    <w:pPr>
                      <w:widowControl w:val="0"/>
                      <w:jc w:val="left"/>
                      <w:rPr>
                        <w:sz w:val="18"/>
                        <w:szCs w:val="18"/>
                      </w:rPr>
                    </w:pPr>
                    <w:r>
                      <w:rPr>
                        <w:sz w:val="18"/>
                        <w:szCs w:val="18"/>
                      </w:rPr>
                      <w:t>无</w:t>
                    </w:r>
                  </w:p>
                </w:tc>
                <w:tc>
                  <w:tcPr>
                    <w:tcW w:w="709" w:type="dxa"/>
                  </w:tcPr>
                  <w:p>
                    <w:pPr>
                      <w:widowControl w:val="0"/>
                      <w:jc w:val="left"/>
                      <w:rPr>
                        <w:sz w:val="18"/>
                        <w:szCs w:val="18"/>
                      </w:rPr>
                    </w:pPr>
                    <w:r>
                      <w:rPr>
                        <w:sz w:val="18"/>
                        <w:szCs w:val="18"/>
                      </w:rPr>
                      <w:t>金融借款合同纠纷</w:t>
                    </w:r>
                  </w:p>
                </w:tc>
                <w:tc>
                  <w:tcPr>
                    <w:tcW w:w="1559" w:type="dxa"/>
                  </w:tcPr>
                  <w:p>
                    <w:pPr>
                      <w:widowControl w:val="0"/>
                      <w:jc w:val="left"/>
                      <w:rPr>
                        <w:sz w:val="18"/>
                        <w:szCs w:val="18"/>
                      </w:rPr>
                    </w:pPr>
                    <w:r>
                      <w:rPr>
                        <w:sz w:val="18"/>
                        <w:szCs w:val="18"/>
                      </w:rPr>
                      <w:t>中信银行厦门分行起诉柳钢股份、厦门拓兴成公司的诉讼事项已由福建省高级人民法院已做出二审判决（详见公司2015-001,2016-024号公告）。柳钢股份向厦门拓兴成集团有限责任公司开展追偿，起诉至柳州市柳北区人民法院。</w:t>
                    </w:r>
                  </w:p>
                </w:tc>
                <w:tc>
                  <w:tcPr>
                    <w:tcW w:w="1001" w:type="dxa"/>
                  </w:tcPr>
                  <w:p>
                    <w:pPr>
                      <w:widowControl w:val="0"/>
                      <w:jc w:val="right"/>
                      <w:rPr>
                        <w:sz w:val="18"/>
                        <w:szCs w:val="18"/>
                      </w:rPr>
                    </w:pPr>
                    <w:r>
                      <w:rPr>
                        <w:sz w:val="18"/>
                        <w:szCs w:val="18"/>
                      </w:rPr>
                      <w:t>1,637.64</w:t>
                    </w:r>
                  </w:p>
                </w:tc>
                <w:tc>
                  <w:tcPr>
                    <w:tcW w:w="842" w:type="dxa"/>
                  </w:tcPr>
                  <w:p>
                    <w:pPr>
                      <w:widowControl w:val="0"/>
                      <w:jc w:val="left"/>
                      <w:rPr>
                        <w:sz w:val="18"/>
                        <w:szCs w:val="18"/>
                      </w:rPr>
                    </w:pPr>
                    <w:r>
                      <w:rPr>
                        <w:sz w:val="18"/>
                        <w:szCs w:val="18"/>
                      </w:rPr>
                      <w:t> </w:t>
                    </w:r>
                    <w:r>
                      <w:rPr>
                        <w:rFonts w:hint="eastAsia"/>
                        <w:sz w:val="18"/>
                        <w:szCs w:val="18"/>
                      </w:rPr>
                      <w:t>否</w:t>
                    </w:r>
                  </w:p>
                </w:tc>
                <w:tc>
                  <w:tcPr>
                    <w:tcW w:w="1276" w:type="dxa"/>
                  </w:tcPr>
                  <w:p>
                    <w:pPr>
                      <w:widowControl w:val="0"/>
                      <w:jc w:val="left"/>
                      <w:rPr>
                        <w:sz w:val="18"/>
                        <w:szCs w:val="18"/>
                      </w:rPr>
                    </w:pPr>
                    <w:r>
                      <w:rPr>
                        <w:sz w:val="18"/>
                        <w:szCs w:val="18"/>
                      </w:rPr>
                      <w:t>已向法院申请强制执行。</w:t>
                    </w:r>
                  </w:p>
                </w:tc>
                <w:tc>
                  <w:tcPr>
                    <w:tcW w:w="1141" w:type="dxa"/>
                  </w:tcPr>
                  <w:p>
                    <w:pPr>
                      <w:widowControl w:val="0"/>
                      <w:jc w:val="left"/>
                      <w:rPr>
                        <w:sz w:val="18"/>
                        <w:szCs w:val="18"/>
                      </w:rPr>
                    </w:pPr>
                    <w:r>
                      <w:rPr>
                        <w:sz w:val="18"/>
                        <w:szCs w:val="18"/>
                      </w:rPr>
                      <w:t>判令被告立即赔付1637.64万元及支付相应利息</w:t>
                    </w:r>
                  </w:p>
                </w:tc>
                <w:tc>
                  <w:tcPr>
                    <w:tcW w:w="712" w:type="dxa"/>
                  </w:tcPr>
                  <w:p>
                    <w:pPr>
                      <w:widowControl w:val="0"/>
                      <w:jc w:val="left"/>
                      <w:rPr>
                        <w:sz w:val="18"/>
                        <w:szCs w:val="18"/>
                      </w:rPr>
                    </w:pPr>
                    <w:r>
                      <w:rPr>
                        <w:sz w:val="18"/>
                        <w:szCs w:val="18"/>
                      </w:rPr>
                      <w:t>已判决</w:t>
                    </w:r>
                  </w:p>
                </w:tc>
              </w:tr>
            </w:sdtContent>
          </w:sdt>
        </w:tbl>
        <w:p>
          <w:pPr>
            <w:pStyle w:val="76"/>
          </w:pPr>
        </w:p>
        <w:p>
          <w:pPr>
            <w:pStyle w:val="76"/>
          </w:pPr>
        </w:p>
      </w:sdtContent>
    </w:sdt>
    <w:p>
      <w:pPr>
        <w:pStyle w:val="76"/>
      </w:pPr>
    </w:p>
    <w:sdt>
      <w:sdtPr>
        <w:rPr>
          <w:b w:val="0"/>
          <w:bCs w:val="0"/>
          <w:szCs w:val="22"/>
        </w:rPr>
        <w:alias w:val="模块:其他诉讼仲裁事项说明"/>
        <w:tag w:val="_SEC_c92a88ec21204766afe5f9688cbd21bd"/>
        <w:id w:val="25153740"/>
        <w:lock w:val="sdtLocked"/>
        <w:placeholder>
          <w:docPart w:val="GBC22222222222222222222222222222"/>
        </w:placeholder>
      </w:sdtPr>
      <w:sdtEndPr>
        <w:rPr>
          <w:rFonts w:hint="eastAsia"/>
          <w:b w:val="0"/>
          <w:bCs w:val="0"/>
          <w:szCs w:val="21"/>
        </w:rPr>
      </w:sdtEndPr>
      <w:sdtContent>
        <w:p>
          <w:pPr>
            <w:pStyle w:val="4"/>
            <w:numPr>
              <w:ilvl w:val="0"/>
              <w:numId w:val="17"/>
            </w:numPr>
          </w:pPr>
          <w:r>
            <w:t>其他说明</w:t>
          </w:r>
        </w:p>
        <w:sdt>
          <w:sdtPr>
            <w:rPr>
              <w:rFonts w:hint="eastAsia"/>
            </w:rPr>
            <w:alias w:val="是否适用：重大诉讼、仲裁事项其他说明[双击切换]"/>
            <w:tag w:val="_GBC_d8d8aef394564199936be6639c0e21a5"/>
            <w:id w:val="25153739"/>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ascii="宋体" w:hAnsi="宋体"/>
          <w:b w:val="0"/>
          <w:bCs w:val="0"/>
          <w:szCs w:val="24"/>
        </w:rPr>
        <w:alias w:val="模块:上市公司及其董事、监事、高级管理人员、控股股东、实际控制人、收购人处罚及整改情况"/>
        <w:tag w:val="_SEC_61682565f6714c6a81ab8e6d05a5abaa"/>
        <w:id w:val="25153742"/>
        <w:lock w:val="sdtLocked"/>
        <w:placeholder>
          <w:docPart w:val="GBC22222222222222222222222222222"/>
        </w:placeholder>
      </w:sdtPr>
      <w:sdtEndPr>
        <w:rPr>
          <w:rFonts w:hint="eastAsia" w:ascii="宋体" w:hAnsi="宋体"/>
          <w:b w:val="0"/>
          <w:bCs w:val="0"/>
          <w:szCs w:val="21"/>
        </w:rPr>
      </w:sdtEndPr>
      <w:sdtContent>
        <w:p>
          <w:pPr>
            <w:pStyle w:val="3"/>
            <w:numPr>
              <w:ilvl w:val="0"/>
              <w:numId w:val="14"/>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25153741"/>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pPr>
            <w:pStyle w:val="76"/>
          </w:pPr>
        </w:p>
      </w:sdtContent>
    </w:sdt>
    <w:sdt>
      <w:sdtPr>
        <w:rPr>
          <w:rFonts w:hint="eastAsia" w:ascii="宋体" w:hAnsi="宋体"/>
          <w:b w:val="0"/>
          <w:bCs w:val="0"/>
          <w:szCs w:val="24"/>
        </w:rPr>
        <w:alias w:val="模块:报告期内公司及其控股股东、实际控制人诚信状况的说明"/>
        <w:tag w:val="_SEC_b6520273283341408b24eceadfb999dd"/>
        <w:id w:val="25153745"/>
        <w:lock w:val="sdtLocked"/>
        <w:placeholder>
          <w:docPart w:val="GBC22222222222222222222222222222"/>
        </w:placeholder>
      </w:sdtPr>
      <w:sdtEndPr>
        <w:rPr>
          <w:rFonts w:hint="eastAsia" w:ascii="宋体" w:hAnsi="宋体"/>
          <w:b w:val="0"/>
          <w:bCs w:val="0"/>
          <w:szCs w:val="21"/>
        </w:rPr>
      </w:sdtEndPr>
      <w:sdtContent>
        <w:p>
          <w:pPr>
            <w:pStyle w:val="3"/>
            <w:numPr>
              <w:ilvl w:val="0"/>
              <w:numId w:val="14"/>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25153743"/>
            <w:lock w:val="sdtContentLocked"/>
            <w:placeholder>
              <w:docPart w:val="GBC22222222222222222222222222222"/>
            </w:placeholder>
          </w:sdtPr>
          <w:sdtEndPr>
            <w:rPr>
              <w:rFonts w:hint="eastAsia"/>
            </w:rPr>
          </w:sdtEnd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25153744"/>
            <w:lock w:val="sdtLocked"/>
            <w:placeholder>
              <w:docPart w:val="GBC22222222222222222222222222222"/>
            </w:placeholder>
          </w:sdtPr>
          <w:sdtContent>
            <w:p>
              <w:pPr>
                <w:pStyle w:val="76"/>
              </w:pPr>
              <w:r>
                <w:rPr>
                  <w:rFonts w:hint="eastAsia"/>
                </w:rPr>
                <w:t>报告期内，公司及公司实际控制人不存在未履行法院生效判决、所负大额债务到期未清偿等情况。</w:t>
              </w:r>
            </w:p>
          </w:sdtContent>
        </w:sdt>
        <w:p>
          <w:pPr>
            <w:pStyle w:val="76"/>
          </w:pPr>
        </w:p>
      </w:sdtContent>
    </w:sdt>
    <w:p>
      <w:pPr>
        <w:pStyle w:val="3"/>
        <w:numPr>
          <w:ilvl w:val="0"/>
          <w:numId w:val="14"/>
        </w:numPr>
        <w:spacing w:line="360" w:lineRule="auto"/>
      </w:pPr>
      <w:r>
        <w:rPr>
          <w:rFonts w:hint="eastAsia"/>
        </w:rPr>
        <w:t>公司股权激励计划、员工持股计划或其他员工激励措施的情况及其影响</w:t>
      </w:r>
    </w:p>
    <w:sdt>
      <w:sdtPr>
        <w:rPr>
          <w:rFonts w:hint="eastAsia"/>
          <w:b w:val="0"/>
          <w:bCs w:val="0"/>
          <w:kern w:val="44"/>
          <w:szCs w:val="22"/>
        </w:rPr>
        <w:alias w:val="模块:相关股权激励事项已在临时公告披露且后续实施无进展或变化"/>
        <w:tag w:val="_SEC_411f00cbba714819bb6b4829850672c8"/>
        <w:id w:val="25153747"/>
        <w:lock w:val="sdtLocked"/>
        <w:placeholder>
          <w:docPart w:val="GBC22222222222222222222222222222"/>
        </w:placeholder>
      </w:sdtPr>
      <w:sdtEndPr>
        <w:rPr>
          <w:rFonts w:hint="default"/>
          <w:b w:val="0"/>
          <w:bCs w:val="0"/>
          <w:kern w:val="44"/>
          <w:szCs w:val="21"/>
        </w:rPr>
      </w:sdtEndPr>
      <w:sdtContent>
        <w:p>
          <w:pPr>
            <w:pStyle w:val="4"/>
            <w:numPr>
              <w:ilvl w:val="1"/>
              <w:numId w:val="18"/>
            </w:numPr>
            <w:rPr>
              <w:kern w:val="44"/>
            </w:rPr>
          </w:pPr>
          <w:r>
            <w:rPr>
              <w:rFonts w:hint="eastAsia"/>
              <w:kern w:val="44"/>
            </w:rPr>
            <w:t>相关股权激励事项已在临时公告披露且后续实施无进展或变化的</w:t>
          </w:r>
        </w:p>
        <w:p>
          <w:pPr>
            <w:pStyle w:val="76"/>
          </w:pPr>
          <w:sdt>
            <w:sdtPr>
              <w:alias w:val="是否适用：相关激励事项已在临时公告披露且后续实施无进展或变化的[双击切换]"/>
              <w:tag w:val="_GBC_6d3d46ffc441429fa473c06ffa671d27"/>
              <w:id w:val="25153746"/>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4"/>
        <w:numPr>
          <w:ilvl w:val="1"/>
          <w:numId w:val="18"/>
        </w:numPr>
        <w:rPr>
          <w:kern w:val="44"/>
        </w:rPr>
      </w:pPr>
      <w:r>
        <w:rPr>
          <w:rFonts w:hint="eastAsia"/>
          <w:kern w:val="44"/>
        </w:rPr>
        <w:t>临时公告未披露或有后续进展的激励情况</w:t>
      </w:r>
    </w:p>
    <w:p>
      <w:pPr>
        <w:pStyle w:val="76"/>
      </w:pPr>
      <w:r>
        <w:rPr>
          <w:rFonts w:hint="eastAsia"/>
        </w:rPr>
        <w:t>股权激励情况</w:t>
      </w:r>
    </w:p>
    <w:sdt>
      <w:sdtPr>
        <w:alias w:val="是否适用：股权激励情况[双击切换]"/>
        <w:tag w:val="_GBC_388221bc7be24cdca55be337256c8bc1"/>
        <w:id w:val="2515374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股权激励情况的说明"/>
        <w:tag w:val="_SEC_a417a9b40b6a4adeba436d511837e016"/>
        <w:id w:val="25153750"/>
        <w:lock w:val="sdtLocked"/>
        <w:placeholder>
          <w:docPart w:val="GBC22222222222222222222222222222"/>
        </w:placeholder>
      </w:sdtPr>
      <w:sdtEndPr>
        <w:rPr>
          <w:rFonts w:hint="default"/>
        </w:rPr>
      </w:sdtEndPr>
      <w:sdtContent>
        <w:p>
          <w:pPr>
            <w:pStyle w:val="76"/>
          </w:pPr>
          <w:r>
            <w:rPr>
              <w:rFonts w:hint="eastAsia"/>
            </w:rPr>
            <w:t>其他说明</w:t>
          </w:r>
        </w:p>
        <w:p>
          <w:pPr>
            <w:pStyle w:val="76"/>
          </w:pPr>
          <w:sdt>
            <w:sdtPr>
              <w:rPr>
                <w:rFonts w:hint="eastAsia"/>
              </w:rPr>
              <w:alias w:val="是否适用：股权激励情况的说明[双击切换]"/>
              <w:tag w:val="_GBC_e5a032ecd3e24335b29a38809f65a990"/>
              <w:id w:val="25153749"/>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76"/>
      </w:pPr>
    </w:p>
    <w:sdt>
      <w:sdtPr>
        <w:rPr>
          <w:rFonts w:hint="eastAsia"/>
          <w:bCs/>
        </w:rPr>
        <w:alias w:val="模块:员工持股计划情况"/>
        <w:tag w:val="_SEC_70861e225efc4a6aa2a87c82bdeffa60"/>
        <w:id w:val="25153752"/>
        <w:lock w:val="sdtLocked"/>
        <w:placeholder>
          <w:docPart w:val="GBC22222222222222222222222222222"/>
        </w:placeholder>
      </w:sdtPr>
      <w:sdtEndPr>
        <w:rPr>
          <w:rFonts w:hint="eastAsia"/>
          <w:bCs/>
        </w:rPr>
      </w:sdtEndPr>
      <w:sdtContent>
        <w:p>
          <w:pPr>
            <w:rPr>
              <w:bCs/>
            </w:rPr>
          </w:pPr>
          <w:r>
            <w:rPr>
              <w:rFonts w:hint="eastAsia"/>
              <w:bCs/>
            </w:rPr>
            <w:t>员工持股计划情况</w:t>
          </w:r>
        </w:p>
        <w:sdt>
          <w:sdtPr>
            <w:alias w:val="是否适用：员工持股计划情况[双击切换]"/>
            <w:tag w:val="_GBC_60a13b60efda4715a83fed9c5960ee3b"/>
            <w:id w:val="25153751"/>
            <w:lock w:val="sdtContentLocked"/>
            <w:placeholder>
              <w:docPart w:val="GBC22222222222222222222222222222"/>
            </w:placeholder>
          </w:sdtPr>
          <w:sdtContent>
            <w:p>
              <w:pPr>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bCs/>
        </w:rPr>
      </w:pPr>
    </w:p>
    <w:sdt>
      <w:sdtPr>
        <w:rPr>
          <w:rFonts w:hint="eastAsia"/>
          <w:bCs/>
        </w:rPr>
        <w:alias w:val="模块:其他激励措施"/>
        <w:tag w:val="_SEC_63920368dc0b49e9a257b190129bf278"/>
        <w:id w:val="25153754"/>
        <w:lock w:val="sdtLocked"/>
        <w:placeholder>
          <w:docPart w:val="GBC22222222222222222222222222222"/>
        </w:placeholder>
      </w:sdtPr>
      <w:sdtEndPr>
        <w:rPr>
          <w:rFonts w:hint="eastAsia"/>
          <w:bCs/>
        </w:rPr>
      </w:sdtEndPr>
      <w:sdtContent>
        <w:p>
          <w:pPr>
            <w:rPr>
              <w:bCs/>
            </w:rPr>
          </w:pPr>
          <w:r>
            <w:rPr>
              <w:rFonts w:hint="eastAsia"/>
              <w:bCs/>
            </w:rPr>
            <w:t>其他激励措施</w:t>
          </w:r>
        </w:p>
        <w:sdt>
          <w:sdtPr>
            <w:alias w:val="是否适用：其他激励措施[双击切换]"/>
            <w:tag w:val="_GBC_87e3c04518ac4bed97846d84cc8784e1"/>
            <w:id w:val="25153753"/>
            <w:lock w:val="sdtContentLocked"/>
            <w:placeholder>
              <w:docPart w:val="GBC22222222222222222222222222222"/>
            </w:placeholder>
          </w:sdtPr>
          <w:sdtContent>
            <w:p>
              <w:pPr>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8"/>
        <w:numPr>
          <w:ilvl w:val="0"/>
          <w:numId w:val="14"/>
        </w:numPr>
        <w:spacing w:line="360" w:lineRule="auto"/>
      </w:pPr>
      <w:r>
        <w:rPr>
          <w:rFonts w:hint="eastAsia"/>
        </w:rPr>
        <w:t>重大关联交易</w:t>
      </w:r>
    </w:p>
    <w:p>
      <w:pPr>
        <w:pStyle w:val="79"/>
        <w:numPr>
          <w:ilvl w:val="2"/>
          <w:numId w:val="4"/>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25153756"/>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2"/>
              <w:numId w:val="19"/>
            </w:numPr>
          </w:pPr>
          <w:r>
            <w:t>已在临时公告披露且后续实施无进展或变化的事项</w:t>
          </w:r>
        </w:p>
        <w:p>
          <w:pPr>
            <w:pStyle w:val="76"/>
          </w:pPr>
          <w:sdt>
            <w:sdtPr>
              <w:alias w:val="是否适用：已在临时公告披露且后续实施无进展或变化的事项_与日常经营相关的关联交易[双击切换]"/>
              <w:tag w:val="_GBC_9cce66e2c46445bea6fd259dd8b5277c"/>
              <w:id w:val="25153755"/>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25153759"/>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2"/>
              <w:numId w:val="19"/>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2515375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25153758"/>
            <w:lock w:val="sdtLocked"/>
            <w:placeholder>
              <w:docPart w:val="GBC22222222222222222222222222222"/>
            </w:placeholder>
          </w:sdtPr>
          <w:sdtEndPr>
            <w:rPr>
              <w:rFonts w:hint="eastAsia"/>
            </w:rPr>
          </w:sdtEndPr>
          <w:sdtContent>
            <w:p>
              <w:pPr>
                <w:pStyle w:val="76"/>
              </w:pPr>
            </w:p>
            <w:tbl>
              <w:tblPr>
                <w:tblStyle w:val="82"/>
                <w:tblW w:w="10221" w:type="dxa"/>
                <w:tblInd w:w="-318" w:type="dxa"/>
                <w:tblLayout w:type="fixed"/>
                <w:tblCellMar>
                  <w:top w:w="0" w:type="dxa"/>
                  <w:left w:w="108" w:type="dxa"/>
                  <w:bottom w:w="0" w:type="dxa"/>
                  <w:right w:w="108" w:type="dxa"/>
                </w:tblCellMar>
              </w:tblPr>
              <w:tblGrid>
                <w:gridCol w:w="2553"/>
                <w:gridCol w:w="1342"/>
                <w:gridCol w:w="960"/>
                <w:gridCol w:w="958"/>
                <w:gridCol w:w="850"/>
                <w:gridCol w:w="1276"/>
                <w:gridCol w:w="1134"/>
                <w:gridCol w:w="1148"/>
              </w:tblGrid>
              <w:tr>
                <w:tblPrEx>
                  <w:tblLayout w:type="fixed"/>
                  <w:tblCellMar>
                    <w:top w:w="0" w:type="dxa"/>
                    <w:left w:w="108" w:type="dxa"/>
                    <w:bottom w:w="0" w:type="dxa"/>
                    <w:right w:w="108" w:type="dxa"/>
                  </w:tblCellMar>
                </w:tblPrEx>
                <w:trPr>
                  <w:trHeight w:val="405" w:hRule="atLeast"/>
                </w:trPr>
                <w:tc>
                  <w:tcPr>
                    <w:tcW w:w="2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关联关系</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关联交易类型</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关联交易内容</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关联交易定价原则</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关联交易金额（万元）</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占同类交易金额的比例(%)</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color w:val="000000"/>
                        <w:sz w:val="18"/>
                        <w:szCs w:val="18"/>
                      </w:rPr>
                    </w:pPr>
                    <w:r>
                      <w:rPr>
                        <w:rFonts w:hint="eastAsia"/>
                        <w:color w:val="000000"/>
                        <w:sz w:val="18"/>
                        <w:szCs w:val="18"/>
                      </w:rPr>
                      <w:t>关联交易结算方式</w:t>
                    </w:r>
                  </w:p>
                </w:tc>
              </w:tr>
              <w:tr>
                <w:tblPrEx>
                  <w:tblLayout w:type="fixed"/>
                  <w:tblCellMar>
                    <w:top w:w="0" w:type="dxa"/>
                    <w:left w:w="108" w:type="dxa"/>
                    <w:bottom w:w="0" w:type="dxa"/>
                    <w:right w:w="108" w:type="dxa"/>
                  </w:tblCellMar>
                </w:tblPrEx>
                <w:trPr>
                  <w:trHeight w:val="312" w:hRule="atLeast"/>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76"/>
                      <w:rPr>
                        <w:sz w:val="18"/>
                        <w:szCs w:val="18"/>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pStyle w:val="76"/>
                      <w:rPr>
                        <w:color w:val="000000"/>
                        <w:sz w:val="18"/>
                        <w:szCs w:val="18"/>
                      </w:rPr>
                    </w:pP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生产用电</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78,052.27</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煤气</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43,651.32</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氧气</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25,616.79</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其他气体</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27,960.59</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耐火材料</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16,889.98</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42.31</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接受劳务</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劳务</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3,640.91</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16.76</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备件材料</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4,529.66</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10.31</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废钢</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11,189.67</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4.02</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柳州兴钢建筑安装工程处</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接受劳务</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劳务</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7,741.33</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35.63</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柳州市运天运运输有限公司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接受劳务</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劳务</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7,864.23</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36.19</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志港实业有限公司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矿石、煤</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273,907.02</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21.86</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信用证</w:t>
                    </w:r>
                  </w:p>
                </w:tc>
              </w:tr>
              <w:tr>
                <w:tblPrEx>
                  <w:tblLayout w:type="fixed"/>
                  <w:tblCellMar>
                    <w:top w:w="0" w:type="dxa"/>
                    <w:left w:w="108" w:type="dxa"/>
                    <w:bottom w:w="0" w:type="dxa"/>
                    <w:right w:w="108" w:type="dxa"/>
                  </w:tblCellMar>
                </w:tblPrEx>
                <w:trPr>
                  <w:trHeight w:val="46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广西柳钢国际贸易有限公司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矿石、煤</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226,357.47</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18.06</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广西柳钢资产经营管理有限公司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color w:val="FF0000"/>
                        <w:sz w:val="18"/>
                        <w:szCs w:val="18"/>
                      </w:rPr>
                    </w:pPr>
                    <w:r>
                      <w:rPr>
                        <w:sz w:val="18"/>
                        <w:szCs w:val="18"/>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煤碳</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6,075.04</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0.48</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55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柳州兴远劳务有限公司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购买商品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劳务、装卸费</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3,265.86</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15.03</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63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煤气</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137,433.83</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54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TRT发电</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4,698.39</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55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辅料</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7,491.88</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52.81</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蒸汽</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协议价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13,205.06</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rFonts w:ascii="Times New Roman" w:hAnsi="Times New Roman" w:cs="Times New Roman"/>
                        <w:sz w:val="18"/>
                        <w:szCs w:val="18"/>
                      </w:rPr>
                    </w:pPr>
                    <w:r>
                      <w:rPr>
                        <w:sz w:val="18"/>
                        <w:szCs w:val="18"/>
                      </w:rPr>
                      <w:t>钢材</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43,457.99</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3.26</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柳州市品成金属材料有限公司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其他</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钢坯</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成本加成</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697,462.95</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柳州市强实科技有限公司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炉渣</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15,126.24</w:t>
                    </w:r>
                  </w:p>
                </w:tc>
                <w:tc>
                  <w:tcPr>
                    <w:tcW w:w="1134" w:type="dxa"/>
                    <w:tcBorders>
                      <w:top w:val="nil"/>
                      <w:left w:val="nil"/>
                      <w:bottom w:val="single" w:color="auto" w:sz="4" w:space="0"/>
                      <w:right w:val="single" w:color="auto" w:sz="4" w:space="0"/>
                    </w:tcBorders>
                    <w:shd w:val="clear" w:color="auto" w:fill="auto"/>
                    <w:vAlign w:val="center"/>
                  </w:tcPr>
                  <w:p>
                    <w:pPr>
                      <w:pStyle w:val="76"/>
                      <w:ind w:right="90"/>
                      <w:jc w:val="right"/>
                      <w:rPr>
                        <w:rFonts w:ascii="Arial Narrow" w:hAnsi="Arial Narrow" w:cs="Times New Roman"/>
                        <w:sz w:val="18"/>
                        <w:szCs w:val="18"/>
                      </w:rPr>
                    </w:pPr>
                    <w:r>
                      <w:rPr>
                        <w:sz w:val="18"/>
                        <w:szCs w:val="18"/>
                      </w:rPr>
                      <w:t>  72.02</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桂林市刚茂升贸易有限公司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钢材</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34,620.59</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2.59</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柳州市新游化工有限责任公司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化工产品</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35,318.76</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100.00</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r>
                <w:tblPrEx>
                  <w:tblLayout w:type="fixed"/>
                  <w:tblCellMar>
                    <w:top w:w="0" w:type="dxa"/>
                    <w:left w:w="108" w:type="dxa"/>
                    <w:bottom w:w="0" w:type="dxa"/>
                    <w:right w:w="108" w:type="dxa"/>
                  </w:tblCellMar>
                </w:tblPrEx>
                <w:trPr>
                  <w:trHeight w:val="48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pStyle w:val="76"/>
                      <w:rPr>
                        <w:sz w:val="18"/>
                        <w:szCs w:val="18"/>
                      </w:rPr>
                    </w:pPr>
                    <w:r>
                      <w:rPr>
                        <w:sz w:val="18"/>
                        <w:szCs w:val="18"/>
                      </w:rPr>
                      <w:t>广西南宁柳钢钢材销售有限公司</w:t>
                    </w:r>
                  </w:p>
                </w:tc>
                <w:tc>
                  <w:tcPr>
                    <w:tcW w:w="1342"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销售商品</w:t>
                    </w:r>
                  </w:p>
                </w:tc>
                <w:tc>
                  <w:tcPr>
                    <w:tcW w:w="958" w:type="dxa"/>
                    <w:tcBorders>
                      <w:top w:val="nil"/>
                      <w:left w:val="nil"/>
                      <w:bottom w:val="single" w:color="auto" w:sz="4" w:space="0"/>
                      <w:right w:val="single" w:color="auto" w:sz="4" w:space="0"/>
                    </w:tcBorders>
                    <w:shd w:val="clear" w:color="auto" w:fill="auto"/>
                    <w:vAlign w:val="center"/>
                  </w:tcPr>
                  <w:p>
                    <w:pPr>
                      <w:pStyle w:val="76"/>
                      <w:jc w:val="center"/>
                      <w:rPr>
                        <w:sz w:val="18"/>
                        <w:szCs w:val="18"/>
                      </w:rPr>
                    </w:pPr>
                    <w:r>
                      <w:rPr>
                        <w:sz w:val="18"/>
                        <w:szCs w:val="18"/>
                      </w:rPr>
                      <w:t>钢材</w:t>
                    </w:r>
                  </w:p>
                </w:tc>
                <w:tc>
                  <w:tcPr>
                    <w:tcW w:w="850"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市场价</w:t>
                    </w:r>
                  </w:p>
                </w:tc>
                <w:tc>
                  <w:tcPr>
                    <w:tcW w:w="1276"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sz w:val="18"/>
                        <w:szCs w:val="18"/>
                      </w:rPr>
                      <w:t>34,539.54</w:t>
                    </w:r>
                  </w:p>
                </w:tc>
                <w:tc>
                  <w:tcPr>
                    <w:tcW w:w="1134" w:type="dxa"/>
                    <w:tcBorders>
                      <w:top w:val="nil"/>
                      <w:left w:val="nil"/>
                      <w:bottom w:val="single" w:color="auto" w:sz="4" w:space="0"/>
                      <w:right w:val="single" w:color="auto" w:sz="4" w:space="0"/>
                    </w:tcBorders>
                    <w:shd w:val="clear" w:color="auto" w:fill="auto"/>
                    <w:vAlign w:val="center"/>
                  </w:tcPr>
                  <w:p>
                    <w:pPr>
                      <w:pStyle w:val="76"/>
                      <w:jc w:val="right"/>
                      <w:rPr>
                        <w:rFonts w:ascii="Arial Narrow" w:hAnsi="Arial Narrow" w:cs="Times New Roman"/>
                        <w:sz w:val="18"/>
                        <w:szCs w:val="18"/>
                      </w:rPr>
                    </w:pPr>
                    <w:r>
                      <w:rPr>
                        <w:sz w:val="18"/>
                        <w:szCs w:val="18"/>
                      </w:rPr>
                      <w:t>   2.59</w:t>
                    </w:r>
                  </w:p>
                </w:tc>
                <w:tc>
                  <w:tcPr>
                    <w:tcW w:w="1148" w:type="dxa"/>
                    <w:tcBorders>
                      <w:top w:val="nil"/>
                      <w:left w:val="nil"/>
                      <w:bottom w:val="single" w:color="auto" w:sz="4" w:space="0"/>
                      <w:right w:val="single" w:color="auto" w:sz="4" w:space="0"/>
                    </w:tcBorders>
                    <w:shd w:val="clear" w:color="auto" w:fill="auto"/>
                    <w:vAlign w:val="center"/>
                  </w:tcPr>
                  <w:p>
                    <w:pPr>
                      <w:pStyle w:val="76"/>
                      <w:rPr>
                        <w:sz w:val="18"/>
                        <w:szCs w:val="18"/>
                      </w:rPr>
                    </w:pPr>
                    <w:r>
                      <w:rPr>
                        <w:sz w:val="18"/>
                        <w:szCs w:val="18"/>
                      </w:rPr>
                      <w:t>银行转账或承兑汇票</w:t>
                    </w:r>
                  </w:p>
                </w:tc>
              </w:tr>
            </w:tbl>
            <w:p>
              <w:pPr>
                <w:pStyle w:val="76"/>
              </w:pPr>
            </w:p>
          </w:sdtContent>
        </w:sdt>
      </w:sdtContent>
    </w:sdt>
    <w:p>
      <w:pPr>
        <w:pStyle w:val="76"/>
      </w:pPr>
    </w:p>
    <w:sdt>
      <w:sdtPr>
        <w:rPr>
          <w:rFonts w:hint="eastAsia" w:ascii="Calibri" w:hAnsi="Calibri" w:cs="宋体"/>
          <w:b w:val="0"/>
          <w:bCs w:val="0"/>
          <w:kern w:val="0"/>
          <w:szCs w:val="22"/>
        </w:rPr>
        <w:alias w:val="模块:临时公告未披露的事项"/>
        <w:tag w:val="_SEC_227a4feb5cd045acb20f0e655bf26ea8"/>
        <w:id w:val="25153761"/>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2"/>
              <w:numId w:val="19"/>
            </w:numPr>
          </w:pPr>
          <w:r>
            <w:rPr>
              <w:rFonts w:hint="eastAsia"/>
            </w:rPr>
            <w:t>临时公告未披露的事项</w:t>
          </w:r>
        </w:p>
        <w:p>
          <w:pPr>
            <w:pStyle w:val="76"/>
            <w:rPr>
              <w:szCs w:val="21"/>
            </w:rPr>
          </w:pPr>
          <w:sdt>
            <w:sdtPr>
              <w:alias w:val="是否适用：与日常经营相关的关联交易_临时公告未披露的事项[双击切换]"/>
              <w:tag w:val="_GBC_91ad548daaa84603a8faa6c0ce358499"/>
              <w:id w:val="25153760"/>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79"/>
        <w:numPr>
          <w:ilvl w:val="2"/>
          <w:numId w:val="4"/>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25153763"/>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0"/>
            </w:numPr>
          </w:pPr>
          <w:r>
            <w:t>已在临时公告披露且后续实施无进展或变化的事项</w:t>
          </w:r>
        </w:p>
        <w:p>
          <w:pPr>
            <w:pStyle w:val="76"/>
          </w:pPr>
          <w:sdt>
            <w:sdtPr>
              <w:alias w:val="是否适用：已在临时公告披露且后续实施无进展或变化的事项_资产或股权收购、出售发生的关联交易[双击切换]"/>
              <w:tag w:val="_GBC_208b69178a984ade8f4f4dd7a3362ae3"/>
              <w:id w:val="25153762"/>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25153765"/>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0"/>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251537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ascii="Calibri" w:hAnsi="Calibri" w:cs="宋体"/>
          <w:b w:val="0"/>
          <w:bCs w:val="0"/>
          <w:kern w:val="0"/>
          <w:szCs w:val="22"/>
        </w:rPr>
        <w:alias w:val="模块:临时公告未披露的事项"/>
        <w:tag w:val="_SEC_a7b4eef2f39c4550974e81ee8caca798"/>
        <w:id w:val="25153767"/>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0"/>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2515376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ascii="宋体" w:hAnsi="宋体" w:cs="宋体"/>
          <w:b w:val="0"/>
          <w:bCs w:val="0"/>
          <w:kern w:val="0"/>
          <w:szCs w:val="24"/>
        </w:rPr>
        <w:alias w:val="模块:涉及业绩约定的，应当披露报告期内的业绩实现情况"/>
        <w:tag w:val="_SEC_e17a03ced9e54c92b773a7e185d85bd3"/>
        <w:id w:val="25153769"/>
        <w:lock w:val="sdtLocked"/>
        <w:placeholder>
          <w:docPart w:val="GBC22222222222222222222222222222"/>
        </w:placeholder>
      </w:sdtPr>
      <w:sdtEndPr>
        <w:rPr>
          <w:rFonts w:ascii="宋体" w:hAnsi="宋体" w:cs="宋体"/>
          <w:b w:val="0"/>
          <w:bCs w:val="0"/>
          <w:kern w:val="0"/>
          <w:szCs w:val="24"/>
        </w:rPr>
      </w:sdtEndPr>
      <w:sdtContent>
        <w:p>
          <w:pPr>
            <w:pStyle w:val="80"/>
            <w:numPr>
              <w:ilvl w:val="0"/>
              <w:numId w:val="20"/>
            </w:numPr>
          </w:pPr>
          <w:r>
            <w:t>涉及业绩约定的，应当披露报告期内的业绩实现情况</w:t>
          </w:r>
        </w:p>
        <w:sdt>
          <w:sdtPr>
            <w:alias w:val="是否适用：涉及业绩约定的，应当披露报告期内的业绩实现情况[双击切换]"/>
            <w:tag w:val="_GBC_0640a8fc3526461ca1eed7810b087c23"/>
            <w:id w:val="251537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9"/>
        <w:numPr>
          <w:ilvl w:val="2"/>
          <w:numId w:val="4"/>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25153771"/>
        <w:lock w:val="sdtLocked"/>
        <w:placeholder>
          <w:docPart w:val="GBC22222222222222222222222222222"/>
        </w:placeholder>
      </w:sdtPr>
      <w:sdtEndPr>
        <w:rPr>
          <w:rFonts w:hint="eastAsia" w:ascii="宋体" w:hAnsi="宋体" w:cs="宋体"/>
          <w:b/>
          <w:bCs/>
          <w:kern w:val="0"/>
          <w:szCs w:val="24"/>
        </w:rPr>
      </w:sdtEndPr>
      <w:sdtContent>
        <w:p>
          <w:pPr>
            <w:pStyle w:val="80"/>
            <w:numPr>
              <w:ilvl w:val="0"/>
              <w:numId w:val="21"/>
            </w:numPr>
          </w:pPr>
          <w:r>
            <w:t>已在临时公告披露且后续实施无进展或变化的事项</w:t>
          </w:r>
        </w:p>
        <w:p>
          <w:pPr>
            <w:pStyle w:val="76"/>
          </w:pPr>
          <w:sdt>
            <w:sdtPr>
              <w:alias w:val="是否适用：已在临时公告披露且后续实施无进展或变化的事项_共同对外投资的重大关联交易[双击切换]"/>
              <w:tag w:val="_GBC_dda9192a67f44f8698afb5d0b3e3c767"/>
              <w:id w:val="25153770"/>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5153773"/>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1"/>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2515377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5153775"/>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1"/>
            </w:numPr>
          </w:pPr>
          <w:r>
            <w:t>临时公告未披露的事项</w:t>
          </w:r>
        </w:p>
        <w:sdt>
          <w:sdtPr>
            <w:rPr>
              <w:rFonts w:hint="eastAsia"/>
            </w:rPr>
            <w:alias w:val="是否适用：共同对外投资的重大关联交易_临时公告未披露的事项[双击切换]"/>
            <w:tag w:val="_GBC_3ac28148c3754202ba544078ad581a24"/>
            <w:id w:val="25153774"/>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9"/>
        <w:numPr>
          <w:ilvl w:val="2"/>
          <w:numId w:val="4"/>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25153777"/>
        <w:lock w:val="sdtLocked"/>
        <w:placeholder>
          <w:docPart w:val="GBC22222222222222222222222222222"/>
        </w:placeholder>
      </w:sdtPr>
      <w:sdtEndPr>
        <w:rPr>
          <w:rFonts w:hint="eastAsia" w:ascii="宋体" w:hAnsi="宋体" w:cs="宋体"/>
          <w:b/>
          <w:bCs/>
          <w:kern w:val="0"/>
          <w:szCs w:val="24"/>
        </w:rPr>
      </w:sdtEndPr>
      <w:sdtContent>
        <w:p>
          <w:pPr>
            <w:pStyle w:val="80"/>
            <w:numPr>
              <w:ilvl w:val="0"/>
              <w:numId w:val="22"/>
            </w:numPr>
          </w:pPr>
          <w:r>
            <w:t>已在临时公告披露且后续实施无进展或变化的事项</w:t>
          </w:r>
        </w:p>
        <w:p>
          <w:pPr>
            <w:pStyle w:val="76"/>
          </w:pPr>
          <w:sdt>
            <w:sdtPr>
              <w:alias w:val="是否适用：已在临时公告披露且后续实施无进展或变化的事项_关联债权债务往来[双击切换]"/>
              <w:tag w:val="_GBC_480ccdae6247445ca78cf6327eb0e24f"/>
              <w:id w:val="25153776"/>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5153779"/>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22"/>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2515377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Calibri" w:hAnsi="Calibri" w:cs="宋体"/>
          <w:b w:val="0"/>
          <w:bCs w:val="0"/>
          <w:kern w:val="0"/>
          <w:szCs w:val="22"/>
        </w:rPr>
        <w:alias w:val="模块:临时公告未披露的事项"/>
        <w:tag w:val="_SEC_da19abf815bb4e3a97fcb901c6225551"/>
        <w:id w:val="25153781"/>
        <w:lock w:val="sdtLocked"/>
        <w:placeholder>
          <w:docPart w:val="GBC22222222222222222222222222222"/>
        </w:placeholder>
      </w:sdtPr>
      <w:sdtEndPr>
        <w:rPr>
          <w:rFonts w:hint="eastAsia" w:cs="宋体" w:asciiTheme="minorEastAsia" w:hAnsiTheme="minorEastAsia" w:eastAsiaTheme="minorEastAsia"/>
          <w:b w:val="0"/>
          <w:bCs w:val="0"/>
          <w:kern w:val="0"/>
          <w:szCs w:val="21"/>
        </w:rPr>
      </w:sdtEndPr>
      <w:sdtContent>
        <w:p>
          <w:pPr>
            <w:pStyle w:val="80"/>
            <w:numPr>
              <w:ilvl w:val="0"/>
              <w:numId w:val="22"/>
            </w:numPr>
          </w:pPr>
          <w:r>
            <w:rPr>
              <w:rFonts w:hint="eastAsia"/>
            </w:rPr>
            <w:t>临时公告未披露的事项</w:t>
          </w:r>
        </w:p>
        <w:sdt>
          <w:sdtPr>
            <w:alias w:val="是否适用：关联债权债务往来_临时公告未披露的事项[双击切换]"/>
            <w:tag w:val="_GBC_0f4a6802ca704b49a413888379a91f0b"/>
            <w:id w:val="25153780"/>
            <w:lock w:val="sdtContentLocked"/>
            <w:placeholder>
              <w:docPart w:val="GBC22222222222222222222222222222"/>
            </w:placeholder>
          </w:sdtPr>
          <w:sdtContent>
            <w:p>
              <w:pPr>
                <w:pStyle w:val="76"/>
                <w:rPr>
                  <w:rFonts w:asciiTheme="minorEastAsia" w:hAnsiTheme="minorEastAsia" w:eastAsiaTheme="minorEastAsia"/>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2"/>
        </w:rPr>
        <w:alias w:val="模块:(五) 其他重大关联交易"/>
        <w:tag w:val="_SEC_d0d528034450466db3d12315559a161a"/>
        <w:id w:val="25153783"/>
        <w:lock w:val="sdtLocked"/>
        <w:placeholder>
          <w:docPart w:val="GBC22222222222222222222222222222"/>
        </w:placeholder>
      </w:sdtPr>
      <w:sdtEndPr>
        <w:rPr>
          <w:rFonts w:hint="default" w:cs="宋体" w:asciiTheme="minorEastAsia" w:hAnsiTheme="minorEastAsia" w:eastAsiaTheme="minorEastAsia"/>
          <w:b w:val="0"/>
          <w:bCs w:val="0"/>
          <w:kern w:val="0"/>
          <w:szCs w:val="21"/>
        </w:rPr>
      </w:sdtEndPr>
      <w:sdtContent>
        <w:p>
          <w:pPr>
            <w:pStyle w:val="79"/>
            <w:numPr>
              <w:ilvl w:val="2"/>
              <w:numId w:val="4"/>
            </w:numPr>
          </w:pPr>
          <w:r>
            <w:rPr>
              <w:rFonts w:hint="eastAsia"/>
            </w:rPr>
            <w:t>其他重大关联交易</w:t>
          </w:r>
        </w:p>
        <w:sdt>
          <w:sdtPr>
            <w:rPr>
              <w:rFonts w:hint="eastAsia" w:asciiTheme="minorEastAsia" w:hAnsiTheme="minorEastAsia" w:eastAsiaTheme="minorEastAsia"/>
              <w:szCs w:val="21"/>
            </w:rPr>
            <w:alias w:val="是否适用：重大关联交易其他说明[双击切换]"/>
            <w:tag w:val="_GBC_7dd39ac420a244dcb8ea88c29ac07190"/>
            <w:id w:val="25153782"/>
            <w:lock w:val="sdtContentLocked"/>
            <w:placeholder>
              <w:docPart w:val="GBC22222222222222222222222222222"/>
            </w:placeholder>
          </w:sdtPr>
          <w:sdtEndPr>
            <w:rPr>
              <w:rFonts w:hint="eastAsia" w:asciiTheme="minorEastAsia" w:hAnsiTheme="minorEastAsia" w:eastAsiaTheme="minorEastAsia"/>
              <w:szCs w:val="21"/>
            </w:rPr>
          </w:sdtEndPr>
          <w:sdtContent>
            <w:p>
              <w:pPr>
                <w:pStyle w:val="76"/>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sdt>
      <w:sdtPr>
        <w:rPr>
          <w:rFonts w:hint="eastAsia" w:ascii="宋体" w:hAnsi="宋体" w:cs="宋体"/>
          <w:b w:val="0"/>
          <w:bCs w:val="0"/>
          <w:kern w:val="0"/>
          <w:szCs w:val="24"/>
        </w:rPr>
        <w:alias w:val="模块:其他"/>
        <w:tag w:val="_SEC_94b5dc0c50e04cae8442e9675bd15742"/>
        <w:id w:val="25153785"/>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2"/>
              <w:numId w:val="4"/>
            </w:numPr>
          </w:pPr>
          <w:r>
            <w:rPr>
              <w:rFonts w:hint="eastAsia"/>
            </w:rPr>
            <w:t>其他</w:t>
          </w:r>
        </w:p>
        <w:sdt>
          <w:sdtPr>
            <w:rPr>
              <w:rFonts w:hint="eastAsia"/>
            </w:rPr>
            <w:alias w:val="是否适用：重大关联交易事项其他补充说明[双击切换]"/>
            <w:tag w:val="_GBC_272061194cde466a9c566f0881c76d0d"/>
            <w:id w:val="25153784"/>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8"/>
        <w:numPr>
          <w:ilvl w:val="0"/>
          <w:numId w:val="14"/>
        </w:numPr>
        <w:spacing w:line="360" w:lineRule="auto"/>
      </w:pPr>
      <w:r>
        <w:rPr>
          <w:rFonts w:hint="eastAsia"/>
        </w:rPr>
        <w:t>重大合同及其履行情况</w:t>
      </w:r>
    </w:p>
    <w:p>
      <w:pPr>
        <w:pStyle w:val="79"/>
        <w:numPr>
          <w:ilvl w:val="0"/>
          <w:numId w:val="23"/>
        </w:numPr>
      </w:pPr>
      <w:r>
        <w:t>托管、承包、租赁事项</w:t>
      </w:r>
    </w:p>
    <w:p>
      <w:pPr>
        <w:pStyle w:val="76"/>
        <w:rPr>
          <w:szCs w:val="21"/>
          <w:shd w:val="pct10" w:color="auto" w:fill="FFFFFF"/>
        </w:rPr>
      </w:pPr>
      <w:sdt>
        <w:sdtPr>
          <w:rPr>
            <w:szCs w:val="21"/>
          </w:rPr>
          <w:alias w:val="是否适用：托管、承包、租赁事项[双击切换]"/>
          <w:tag w:val="_GBC_daed561e68674d828a348a97bffbc154"/>
          <w:id w:val="25153786"/>
          <w:lock w:val="sdtContentLocked"/>
          <w:placeholder>
            <w:docPart w:val="GBC22222222222222222222222222222"/>
          </w:placeholder>
        </w:sdtPr>
        <w:sdtEndPr>
          <w:rPr>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pStyle w:val="76"/>
        <w:rPr>
          <w:szCs w:val="21"/>
          <w:shd w:val="pct10" w:color="auto" w:fill="FFFFFF"/>
        </w:rPr>
      </w:pPr>
    </w:p>
    <w:p>
      <w:pPr>
        <w:pStyle w:val="79"/>
        <w:numPr>
          <w:ilvl w:val="0"/>
          <w:numId w:val="23"/>
        </w:numPr>
      </w:pPr>
      <w:r>
        <w:rPr>
          <w:rFonts w:hint="eastAsia"/>
        </w:rPr>
        <w:t>担保情况</w:t>
      </w:r>
    </w:p>
    <w:sdt>
      <w:sdtPr>
        <w:alias w:val="是否适用：担保情况[双击切换]"/>
        <w:tag w:val="_GBC_aae98b3e30bd49e4b2e1d2643f200047"/>
        <w:id w:val="2515378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b w:val="0"/>
          <w:bCs w:val="0"/>
          <w:kern w:val="0"/>
          <w:szCs w:val="24"/>
        </w:rPr>
        <w:alias w:val="模块:其他重大合同"/>
        <w:tag w:val="_SEC_e046194a1b604165ab4ac9dbd406e6b1"/>
        <w:id w:val="25153789"/>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23"/>
            </w:numPr>
          </w:pPr>
          <w:r>
            <w:t>其他重大合同</w:t>
          </w:r>
        </w:p>
        <w:sdt>
          <w:sdtPr>
            <w:alias w:val="是否适用：其他重大合同[双击切换]"/>
            <w:tag w:val="_GBC_23289ac36e3b4aeeaff6a4f1df0c3165"/>
            <w:id w:val="2515378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3"/>
        <w:numPr>
          <w:ilvl w:val="0"/>
          <w:numId w:val="14"/>
        </w:numPr>
        <w:spacing w:line="360" w:lineRule="auto"/>
      </w:pPr>
      <w:r>
        <w:rPr>
          <w:rFonts w:hint="eastAsia"/>
        </w:rPr>
        <w:t>上市公司扶贫工作情况</w:t>
      </w:r>
    </w:p>
    <w:sdt>
      <w:sdtPr>
        <w:alias w:val="是否适用：上市公司扶贫工作情况[双击切换]"/>
        <w:tag w:val="_GBC_a47427153555452aab8fef6451a58abc"/>
        <w:id w:val="2515379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p>
      <w:pPr>
        <w:pStyle w:val="3"/>
        <w:numPr>
          <w:ilvl w:val="0"/>
          <w:numId w:val="14"/>
        </w:numPr>
        <w:spacing w:line="360" w:lineRule="auto"/>
      </w:pPr>
      <w:r>
        <w:rPr>
          <w:rFonts w:hint="eastAsia"/>
        </w:rPr>
        <w:t>可转换公司债券情况</w:t>
      </w:r>
    </w:p>
    <w:sdt>
      <w:sdtPr>
        <w:alias w:val="是否适用：可转换公司债券情况[双击切换]"/>
        <w:tag w:val="_GBC_6a49e99841294af3b87ba6216b1997d9"/>
        <w:id w:val="2515379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p>
      <w:pPr>
        <w:pStyle w:val="3"/>
        <w:numPr>
          <w:ilvl w:val="0"/>
          <w:numId w:val="14"/>
        </w:numPr>
        <w:spacing w:line="360" w:lineRule="auto"/>
      </w:pPr>
      <w:r>
        <w:rPr>
          <w:rFonts w:hint="eastAsia" w:ascii="宋体" w:hAnsi="宋体"/>
          <w:bCs w:val="0"/>
          <w:szCs w:val="24"/>
        </w:rPr>
        <w:t>环境</w:t>
      </w:r>
      <w:r>
        <w:rPr>
          <w:rFonts w:ascii="宋体" w:hAnsi="宋体"/>
          <w:bCs w:val="0"/>
          <w:szCs w:val="24"/>
        </w:rPr>
        <w:t>信息情况</w:t>
      </w:r>
    </w:p>
    <w:p>
      <w:pPr>
        <w:pStyle w:val="4"/>
        <w:numPr>
          <w:ilvl w:val="0"/>
          <w:numId w:val="24"/>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5153792"/>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b w:val="0"/>
          <w:bCs w:val="0"/>
          <w:szCs w:val="24"/>
        </w:rPr>
        <w:alias w:val="模块:排污信息"/>
        <w:tag w:val="_SEC_692004cb913244878ef4d9f391681f08"/>
        <w:id w:val="25153795"/>
        <w:lock w:val="sdtLocked"/>
        <w:placeholder>
          <w:docPart w:val="GBC22222222222222222222222222222"/>
        </w:placeholder>
      </w:sdtPr>
      <w:sdtEndPr>
        <w:rPr>
          <w:rFonts w:hint="default" w:ascii="宋体" w:hAnsi="宋体"/>
          <w:b w:val="0"/>
          <w:bCs w:val="0"/>
          <w:szCs w:val="21"/>
        </w:rPr>
      </w:sdtEndPr>
      <w:sdtContent>
        <w:p>
          <w:pPr>
            <w:pStyle w:val="5"/>
            <w:numPr>
              <w:ilvl w:val="0"/>
              <w:numId w:val="25"/>
            </w:numPr>
          </w:pPr>
          <w:r>
            <w:rPr>
              <w:rFonts w:hint="eastAsia"/>
            </w:rPr>
            <w:t>排污</w:t>
          </w:r>
          <w:r>
            <w:t>信息</w:t>
          </w:r>
        </w:p>
        <w:sdt>
          <w:sdtPr>
            <w:rPr>
              <w:rFonts w:hint="eastAsia"/>
            </w:rPr>
            <w:alias w:val="是否适用：排污信息[双击切换]"/>
            <w:tag w:val="_GBC_44bbf262c38141458fba6072b4e5b459"/>
            <w:id w:val="25153793"/>
            <w:lock w:val="sdtContentLocked"/>
            <w:placeholder>
              <w:docPart w:val="GBC22222222222222222222222222222"/>
            </w:placeholder>
          </w:sdtPr>
          <w:sdtEndPr>
            <w:rPr>
              <w:rFonts w:hint="eastAsia"/>
            </w:rPr>
          </w:sdtEndPr>
          <w:sdtContent>
            <w:p>
              <w:pPr>
                <w:pStyle w:val="49"/>
                <w:ind w:firstLine="0" w:firstLineChars="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排污信息"/>
            <w:tag w:val="_GBC_28890c46cf8446cc95bd08ae7c7a17dc"/>
            <w:id w:val="25153794"/>
            <w:lock w:val="sdtLocked"/>
            <w:placeholder>
              <w:docPart w:val="GBC22222222222222222222222222222"/>
            </w:placeholder>
          </w:sdtPr>
          <w:sdtEndPr>
            <w:rPr>
              <w:rFonts w:hint="eastAsia"/>
              <w:szCs w:val="21"/>
            </w:rPr>
          </w:sdtEndPr>
          <w:sdtContent>
            <w:p>
              <w:pPr>
                <w:pStyle w:val="49"/>
                <w:ind w:firstLine="0" w:firstLineChars="0"/>
              </w:pP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8"/>
                <w:gridCol w:w="1059"/>
                <w:gridCol w:w="1317"/>
                <w:gridCol w:w="1272"/>
                <w:gridCol w:w="854"/>
                <w:gridCol w:w="13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主要污染物名称</w:t>
                    </w:r>
                  </w:p>
                </w:tc>
                <w:tc>
                  <w:tcPr>
                    <w:tcW w:w="1168" w:type="dxa"/>
                  </w:tcPr>
                  <w:p>
                    <w:pPr>
                      <w:pStyle w:val="49"/>
                      <w:widowControl w:val="0"/>
                      <w:ind w:firstLine="0" w:firstLineChars="0"/>
                      <w:jc w:val="both"/>
                      <w:rPr>
                        <w:sz w:val="18"/>
                        <w:szCs w:val="18"/>
                      </w:rPr>
                    </w:pPr>
                    <w:r>
                      <w:rPr>
                        <w:sz w:val="18"/>
                        <w:szCs w:val="18"/>
                      </w:rPr>
                      <w:t>排放方式</w:t>
                    </w:r>
                  </w:p>
                </w:tc>
                <w:tc>
                  <w:tcPr>
                    <w:tcW w:w="1059" w:type="dxa"/>
                  </w:tcPr>
                  <w:p>
                    <w:pPr>
                      <w:pStyle w:val="49"/>
                      <w:widowControl w:val="0"/>
                      <w:ind w:firstLine="0" w:firstLineChars="0"/>
                      <w:jc w:val="both"/>
                      <w:rPr>
                        <w:sz w:val="18"/>
                        <w:szCs w:val="18"/>
                      </w:rPr>
                    </w:pPr>
                    <w:r>
                      <w:rPr>
                        <w:sz w:val="18"/>
                        <w:szCs w:val="18"/>
                      </w:rPr>
                      <w:t>排放口分布情况及数量</w:t>
                    </w:r>
                  </w:p>
                </w:tc>
                <w:tc>
                  <w:tcPr>
                    <w:tcW w:w="1317" w:type="dxa"/>
                  </w:tcPr>
                  <w:p>
                    <w:pPr>
                      <w:pStyle w:val="49"/>
                      <w:widowControl w:val="0"/>
                      <w:ind w:firstLine="0" w:firstLineChars="0"/>
                      <w:jc w:val="both"/>
                      <w:rPr>
                        <w:sz w:val="18"/>
                        <w:szCs w:val="18"/>
                      </w:rPr>
                    </w:pPr>
                    <w:r>
                      <w:rPr>
                        <w:sz w:val="18"/>
                        <w:szCs w:val="18"/>
                      </w:rPr>
                      <w:t>排放浓度</w:t>
                    </w:r>
                  </w:p>
                </w:tc>
                <w:tc>
                  <w:tcPr>
                    <w:tcW w:w="1272" w:type="dxa"/>
                  </w:tcPr>
                  <w:p>
                    <w:pPr>
                      <w:pStyle w:val="49"/>
                      <w:widowControl w:val="0"/>
                      <w:ind w:firstLine="0" w:firstLineChars="0"/>
                      <w:jc w:val="both"/>
                      <w:rPr>
                        <w:sz w:val="18"/>
                        <w:szCs w:val="18"/>
                      </w:rPr>
                    </w:pPr>
                    <w:r>
                      <w:rPr>
                        <w:sz w:val="18"/>
                        <w:szCs w:val="18"/>
                      </w:rPr>
                      <w:t>排放总量</w:t>
                    </w:r>
                  </w:p>
                </w:tc>
                <w:tc>
                  <w:tcPr>
                    <w:tcW w:w="854" w:type="dxa"/>
                  </w:tcPr>
                  <w:p>
                    <w:pPr>
                      <w:pStyle w:val="49"/>
                      <w:widowControl w:val="0"/>
                      <w:ind w:firstLine="0" w:firstLineChars="0"/>
                      <w:jc w:val="both"/>
                      <w:rPr>
                        <w:sz w:val="18"/>
                        <w:szCs w:val="18"/>
                      </w:rPr>
                    </w:pPr>
                    <w:r>
                      <w:rPr>
                        <w:sz w:val="18"/>
                        <w:szCs w:val="18"/>
                      </w:rPr>
                      <w:t>超标排放情况</w:t>
                    </w:r>
                  </w:p>
                </w:tc>
                <w:tc>
                  <w:tcPr>
                    <w:tcW w:w="1328" w:type="dxa"/>
                  </w:tcPr>
                  <w:p>
                    <w:pPr>
                      <w:pStyle w:val="49"/>
                      <w:widowControl w:val="0"/>
                      <w:ind w:firstLine="0" w:firstLineChars="0"/>
                      <w:jc w:val="both"/>
                      <w:rPr>
                        <w:sz w:val="18"/>
                        <w:szCs w:val="18"/>
                      </w:rPr>
                    </w:pPr>
                    <w:r>
                      <w:rPr>
                        <w:sz w:val="18"/>
                        <w:szCs w:val="18"/>
                      </w:rPr>
                      <w:t>执行的排放标准</w:t>
                    </w:r>
                  </w:p>
                </w:tc>
                <w:tc>
                  <w:tcPr>
                    <w:tcW w:w="1092" w:type="dxa"/>
                  </w:tcPr>
                  <w:p>
                    <w:pPr>
                      <w:pStyle w:val="49"/>
                      <w:widowControl w:val="0"/>
                      <w:ind w:firstLine="0" w:firstLineChars="0"/>
                      <w:jc w:val="both"/>
                      <w:rPr>
                        <w:sz w:val="18"/>
                        <w:szCs w:val="18"/>
                      </w:rPr>
                    </w:pPr>
                    <w:r>
                      <w:rPr>
                        <w:sz w:val="18"/>
                        <w:szCs w:val="18"/>
                      </w:rPr>
                      <w:t>核定的排放总量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二氧化碳排放量</w:t>
                    </w:r>
                  </w:p>
                </w:tc>
                <w:tc>
                  <w:tcPr>
                    <w:tcW w:w="1168" w:type="dxa"/>
                  </w:tcPr>
                  <w:p>
                    <w:pPr>
                      <w:pStyle w:val="49"/>
                      <w:widowControl w:val="0"/>
                      <w:ind w:firstLine="0" w:firstLineChars="0"/>
                      <w:jc w:val="both"/>
                      <w:rPr>
                        <w:sz w:val="18"/>
                        <w:szCs w:val="18"/>
                      </w:rPr>
                    </w:pPr>
                    <w:r>
                      <w:rPr>
                        <w:sz w:val="18"/>
                        <w:szCs w:val="18"/>
                      </w:rPr>
                      <w:t>直接排放</w:t>
                    </w:r>
                  </w:p>
                </w:tc>
                <w:tc>
                  <w:tcPr>
                    <w:tcW w:w="1059" w:type="dxa"/>
                  </w:tcPr>
                  <w:p>
                    <w:pPr>
                      <w:pStyle w:val="49"/>
                      <w:widowControl w:val="0"/>
                      <w:ind w:firstLine="0" w:firstLineChars="0"/>
                      <w:jc w:val="both"/>
                      <w:rPr>
                        <w:sz w:val="18"/>
                        <w:szCs w:val="18"/>
                      </w:rPr>
                    </w:pPr>
                    <w:r>
                      <w:rPr>
                        <w:sz w:val="18"/>
                        <w:szCs w:val="18"/>
                      </w:rPr>
                      <w:t> </w:t>
                    </w:r>
                    <w:r>
                      <w:rPr>
                        <w:rFonts w:hint="eastAsia"/>
                        <w:sz w:val="18"/>
                        <w:szCs w:val="18"/>
                      </w:rPr>
                      <w:t>/</w:t>
                    </w:r>
                  </w:p>
                </w:tc>
                <w:tc>
                  <w:tcPr>
                    <w:tcW w:w="1317" w:type="dxa"/>
                  </w:tcPr>
                  <w:p>
                    <w:pPr>
                      <w:pStyle w:val="49"/>
                      <w:widowControl w:val="0"/>
                      <w:ind w:firstLine="0" w:firstLineChars="0"/>
                      <w:jc w:val="both"/>
                      <w:rPr>
                        <w:sz w:val="18"/>
                        <w:szCs w:val="18"/>
                      </w:rPr>
                    </w:pPr>
                    <w:r>
                      <w:rPr>
                        <w:sz w:val="18"/>
                        <w:szCs w:val="18"/>
                      </w:rPr>
                      <w:t>无要求</w:t>
                    </w:r>
                  </w:p>
                </w:tc>
                <w:tc>
                  <w:tcPr>
                    <w:tcW w:w="1272" w:type="dxa"/>
                  </w:tcPr>
                  <w:p>
                    <w:pPr>
                      <w:pStyle w:val="49"/>
                      <w:widowControl w:val="0"/>
                      <w:ind w:firstLine="0" w:firstLineChars="0"/>
                      <w:jc w:val="both"/>
                      <w:rPr>
                        <w:sz w:val="18"/>
                        <w:szCs w:val="18"/>
                      </w:rPr>
                    </w:pPr>
                    <w:r>
                      <w:rPr>
                        <w:sz w:val="18"/>
                        <w:szCs w:val="18"/>
                      </w:rPr>
                      <w:t>11655055吨</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sz w:val="18"/>
                        <w:szCs w:val="18"/>
                      </w:rPr>
                      <w:t>无要求</w:t>
                    </w:r>
                  </w:p>
                </w:tc>
                <w:tc>
                  <w:tcPr>
                    <w:tcW w:w="1092" w:type="dxa"/>
                  </w:tcPr>
                  <w:p>
                    <w:pPr>
                      <w:pStyle w:val="49"/>
                      <w:widowControl w:val="0"/>
                      <w:ind w:firstLine="0" w:firstLineChars="0"/>
                      <w:jc w:val="both"/>
                      <w:rPr>
                        <w:sz w:val="18"/>
                        <w:szCs w:val="18"/>
                      </w:rPr>
                    </w:pPr>
                    <w:r>
                      <w:rPr>
                        <w:sz w:val="18"/>
                        <w:szCs w:val="1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COD排放量</w:t>
                    </w:r>
                  </w:p>
                </w:tc>
                <w:tc>
                  <w:tcPr>
                    <w:tcW w:w="1168" w:type="dxa"/>
                  </w:tcPr>
                  <w:p>
                    <w:pPr>
                      <w:pStyle w:val="49"/>
                      <w:widowControl w:val="0"/>
                      <w:ind w:firstLine="0" w:firstLineChars="0"/>
                      <w:jc w:val="both"/>
                      <w:rPr>
                        <w:sz w:val="18"/>
                        <w:szCs w:val="18"/>
                      </w:rPr>
                    </w:pPr>
                    <w:r>
                      <w:rPr>
                        <w:sz w:val="18"/>
                        <w:szCs w:val="18"/>
                      </w:rPr>
                      <w:t>直接排放</w:t>
                    </w:r>
                  </w:p>
                </w:tc>
                <w:tc>
                  <w:tcPr>
                    <w:tcW w:w="1059" w:type="dxa"/>
                  </w:tcPr>
                  <w:p>
                    <w:pPr>
                      <w:pStyle w:val="49"/>
                      <w:widowControl w:val="0"/>
                      <w:ind w:firstLine="0" w:firstLineChars="0"/>
                      <w:jc w:val="both"/>
                      <w:rPr>
                        <w:sz w:val="18"/>
                        <w:szCs w:val="18"/>
                      </w:rPr>
                    </w:pPr>
                    <w:r>
                      <w:rPr>
                        <w:sz w:val="18"/>
                        <w:szCs w:val="18"/>
                      </w:rPr>
                      <w:t>1个</w:t>
                    </w:r>
                  </w:p>
                </w:tc>
                <w:tc>
                  <w:tcPr>
                    <w:tcW w:w="1317" w:type="dxa"/>
                  </w:tcPr>
                  <w:p>
                    <w:pPr>
                      <w:pStyle w:val="49"/>
                      <w:widowControl w:val="0"/>
                      <w:ind w:firstLine="0" w:firstLineChars="0"/>
                      <w:jc w:val="both"/>
                      <w:rPr>
                        <w:sz w:val="18"/>
                        <w:szCs w:val="18"/>
                      </w:rPr>
                    </w:pPr>
                    <w:r>
                      <w:rPr>
                        <w:sz w:val="18"/>
                        <w:szCs w:val="18"/>
                      </w:rPr>
                      <w:t>20-40mg/L</w:t>
                    </w:r>
                  </w:p>
                </w:tc>
                <w:tc>
                  <w:tcPr>
                    <w:tcW w:w="1272" w:type="dxa"/>
                  </w:tcPr>
                  <w:p>
                    <w:pPr>
                      <w:pStyle w:val="49"/>
                      <w:widowControl w:val="0"/>
                      <w:ind w:firstLine="0" w:firstLineChars="0"/>
                      <w:jc w:val="both"/>
                      <w:rPr>
                        <w:sz w:val="18"/>
                        <w:szCs w:val="18"/>
                      </w:rPr>
                    </w:pPr>
                    <w:r>
                      <w:rPr>
                        <w:sz w:val="18"/>
                        <w:szCs w:val="18"/>
                      </w:rPr>
                      <w:t>97.54</w:t>
                    </w:r>
                    <w:r>
                      <w:rPr>
                        <w:rFonts w:hint="eastAsia"/>
                        <w:sz w:val="18"/>
                        <w:szCs w:val="18"/>
                      </w:rPr>
                      <w:t>吨</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sz w:val="18"/>
                        <w:szCs w:val="18"/>
                      </w:rPr>
                      <w:t>小于50mg/L</w:t>
                    </w:r>
                  </w:p>
                </w:tc>
                <w:tc>
                  <w:tcPr>
                    <w:tcW w:w="1092" w:type="dxa"/>
                  </w:tcPr>
                  <w:p>
                    <w:pPr>
                      <w:pStyle w:val="49"/>
                      <w:widowControl w:val="0"/>
                      <w:ind w:firstLine="0" w:firstLineChars="0"/>
                      <w:jc w:val="both"/>
                      <w:rPr>
                        <w:sz w:val="18"/>
                        <w:szCs w:val="18"/>
                      </w:rPr>
                    </w:pPr>
                    <w:r>
                      <w:rPr>
                        <w:sz w:val="18"/>
                        <w:szCs w:val="18"/>
                      </w:rPr>
                      <w:t>200吨/年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二氧化硫排放量</w:t>
                    </w:r>
                  </w:p>
                </w:tc>
                <w:tc>
                  <w:tcPr>
                    <w:tcW w:w="1168" w:type="dxa"/>
                  </w:tcPr>
                  <w:p>
                    <w:pPr>
                      <w:pStyle w:val="49"/>
                      <w:widowControl w:val="0"/>
                      <w:ind w:firstLine="0" w:firstLineChars="0"/>
                      <w:jc w:val="both"/>
                      <w:rPr>
                        <w:sz w:val="18"/>
                        <w:szCs w:val="18"/>
                      </w:rPr>
                    </w:pPr>
                    <w:r>
                      <w:rPr>
                        <w:sz w:val="18"/>
                        <w:szCs w:val="18"/>
                      </w:rPr>
                      <w:t>有组织排放</w:t>
                    </w:r>
                  </w:p>
                </w:tc>
                <w:tc>
                  <w:tcPr>
                    <w:tcW w:w="1059" w:type="dxa"/>
                  </w:tcPr>
                  <w:p>
                    <w:pPr>
                      <w:pStyle w:val="49"/>
                      <w:widowControl w:val="0"/>
                      <w:ind w:firstLine="0" w:firstLineChars="0"/>
                      <w:jc w:val="both"/>
                      <w:rPr>
                        <w:sz w:val="18"/>
                        <w:szCs w:val="18"/>
                      </w:rPr>
                    </w:pPr>
                    <w:r>
                      <w:rPr>
                        <w:sz w:val="18"/>
                        <w:szCs w:val="18"/>
                      </w:rPr>
                      <w:t>20个</w:t>
                    </w:r>
                  </w:p>
                </w:tc>
                <w:tc>
                  <w:tcPr>
                    <w:tcW w:w="1317" w:type="dxa"/>
                  </w:tcPr>
                  <w:p>
                    <w:pPr>
                      <w:pStyle w:val="49"/>
                      <w:widowControl w:val="0"/>
                      <w:ind w:firstLine="0" w:firstLineChars="0"/>
                      <w:jc w:val="both"/>
                      <w:rPr>
                        <w:sz w:val="18"/>
                        <w:szCs w:val="18"/>
                      </w:rPr>
                    </w:pPr>
                    <w:r>
                      <w:rPr>
                        <w:sz w:val="18"/>
                        <w:szCs w:val="18"/>
                      </w:rPr>
                      <w:t>60-80mg/m</w:t>
                    </w:r>
                    <w:r>
                      <w:rPr>
                        <w:sz w:val="18"/>
                        <w:szCs w:val="18"/>
                        <w:vertAlign w:val="superscript"/>
                      </w:rPr>
                      <w:t>3</w:t>
                    </w:r>
                  </w:p>
                </w:tc>
                <w:tc>
                  <w:tcPr>
                    <w:tcW w:w="1272" w:type="dxa"/>
                  </w:tcPr>
                  <w:p>
                    <w:pPr>
                      <w:pStyle w:val="49"/>
                      <w:widowControl w:val="0"/>
                      <w:ind w:firstLine="0" w:firstLineChars="0"/>
                      <w:jc w:val="both"/>
                      <w:rPr>
                        <w:sz w:val="18"/>
                        <w:szCs w:val="18"/>
                      </w:rPr>
                    </w:pPr>
                    <w:r>
                      <w:rPr>
                        <w:sz w:val="18"/>
                        <w:szCs w:val="18"/>
                      </w:rPr>
                      <w:t>3349.34</w:t>
                    </w:r>
                    <w:r>
                      <w:rPr>
                        <w:rFonts w:hint="eastAsia"/>
                        <w:sz w:val="18"/>
                        <w:szCs w:val="18"/>
                      </w:rPr>
                      <w:t>吨</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sz w:val="18"/>
                        <w:szCs w:val="18"/>
                      </w:rPr>
                      <w:t>小于200mg/m3</w:t>
                    </w:r>
                  </w:p>
                </w:tc>
                <w:tc>
                  <w:tcPr>
                    <w:tcW w:w="1092" w:type="dxa"/>
                  </w:tcPr>
                  <w:p>
                    <w:pPr>
                      <w:pStyle w:val="49"/>
                      <w:widowControl w:val="0"/>
                      <w:ind w:firstLine="0" w:firstLineChars="0"/>
                      <w:jc w:val="both"/>
                      <w:rPr>
                        <w:sz w:val="18"/>
                        <w:szCs w:val="18"/>
                      </w:rPr>
                    </w:pPr>
                    <w:r>
                      <w:rPr>
                        <w:sz w:val="18"/>
                        <w:szCs w:val="18"/>
                      </w:rPr>
                      <w:t>11000吨/年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氮氧化物排放量</w:t>
                    </w:r>
                  </w:p>
                </w:tc>
                <w:tc>
                  <w:tcPr>
                    <w:tcW w:w="1168" w:type="dxa"/>
                  </w:tcPr>
                  <w:p>
                    <w:pPr>
                      <w:pStyle w:val="49"/>
                      <w:widowControl w:val="0"/>
                      <w:ind w:firstLine="0" w:firstLineChars="0"/>
                      <w:jc w:val="both"/>
                      <w:rPr>
                        <w:sz w:val="18"/>
                        <w:szCs w:val="18"/>
                      </w:rPr>
                    </w:pPr>
                    <w:r>
                      <w:rPr>
                        <w:sz w:val="18"/>
                        <w:szCs w:val="18"/>
                      </w:rPr>
                      <w:t>有组织排放</w:t>
                    </w:r>
                  </w:p>
                </w:tc>
                <w:tc>
                  <w:tcPr>
                    <w:tcW w:w="1059" w:type="dxa"/>
                  </w:tcPr>
                  <w:p>
                    <w:pPr>
                      <w:pStyle w:val="49"/>
                      <w:widowControl w:val="0"/>
                      <w:ind w:firstLine="0" w:firstLineChars="0"/>
                      <w:jc w:val="both"/>
                      <w:rPr>
                        <w:sz w:val="18"/>
                        <w:szCs w:val="18"/>
                      </w:rPr>
                    </w:pPr>
                    <w:r>
                      <w:rPr>
                        <w:sz w:val="18"/>
                        <w:szCs w:val="18"/>
                      </w:rPr>
                      <w:t>20个</w:t>
                    </w:r>
                  </w:p>
                </w:tc>
                <w:tc>
                  <w:tcPr>
                    <w:tcW w:w="1317" w:type="dxa"/>
                  </w:tcPr>
                  <w:p>
                    <w:pPr>
                      <w:pStyle w:val="49"/>
                      <w:widowControl w:val="0"/>
                      <w:ind w:firstLine="0" w:firstLineChars="0"/>
                      <w:jc w:val="both"/>
                      <w:rPr>
                        <w:sz w:val="18"/>
                        <w:szCs w:val="18"/>
                      </w:rPr>
                    </w:pPr>
                    <w:r>
                      <w:rPr>
                        <w:sz w:val="18"/>
                        <w:szCs w:val="18"/>
                      </w:rPr>
                      <w:t>200-240mg/m</w:t>
                    </w:r>
                    <w:r>
                      <w:rPr>
                        <w:sz w:val="18"/>
                        <w:szCs w:val="18"/>
                        <w:vertAlign w:val="superscript"/>
                      </w:rPr>
                      <w:t>3</w:t>
                    </w:r>
                  </w:p>
                </w:tc>
                <w:tc>
                  <w:tcPr>
                    <w:tcW w:w="1272" w:type="dxa"/>
                  </w:tcPr>
                  <w:p>
                    <w:pPr>
                      <w:pStyle w:val="49"/>
                      <w:widowControl w:val="0"/>
                      <w:ind w:firstLine="0" w:firstLineChars="0"/>
                      <w:jc w:val="both"/>
                      <w:rPr>
                        <w:sz w:val="18"/>
                        <w:szCs w:val="18"/>
                      </w:rPr>
                    </w:pPr>
                    <w:r>
                      <w:rPr>
                        <w:sz w:val="18"/>
                        <w:szCs w:val="18"/>
                      </w:rPr>
                      <w:t>7011.11</w:t>
                    </w:r>
                    <w:r>
                      <w:rPr>
                        <w:rFonts w:hint="eastAsia"/>
                        <w:sz w:val="18"/>
                        <w:szCs w:val="18"/>
                      </w:rPr>
                      <w:t>吨</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sz w:val="18"/>
                        <w:szCs w:val="18"/>
                      </w:rPr>
                      <w:t>小于300mg/m3</w:t>
                    </w:r>
                  </w:p>
                </w:tc>
                <w:tc>
                  <w:tcPr>
                    <w:tcW w:w="1092" w:type="dxa"/>
                  </w:tcPr>
                  <w:p>
                    <w:pPr>
                      <w:pStyle w:val="49"/>
                      <w:widowControl w:val="0"/>
                      <w:ind w:firstLine="0" w:firstLineChars="0"/>
                      <w:jc w:val="both"/>
                      <w:rPr>
                        <w:sz w:val="18"/>
                        <w:szCs w:val="18"/>
                      </w:rPr>
                    </w:pPr>
                    <w:r>
                      <w:rPr>
                        <w:sz w:val="18"/>
                        <w:szCs w:val="18"/>
                      </w:rPr>
                      <w:t>22000吨/年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烟粉尘排放量</w:t>
                    </w:r>
                  </w:p>
                </w:tc>
                <w:tc>
                  <w:tcPr>
                    <w:tcW w:w="1168" w:type="dxa"/>
                  </w:tcPr>
                  <w:p>
                    <w:pPr>
                      <w:pStyle w:val="49"/>
                      <w:widowControl w:val="0"/>
                      <w:ind w:firstLine="0" w:firstLineChars="0"/>
                      <w:jc w:val="both"/>
                      <w:rPr>
                        <w:sz w:val="18"/>
                        <w:szCs w:val="18"/>
                      </w:rPr>
                    </w:pPr>
                    <w:r>
                      <w:rPr>
                        <w:sz w:val="18"/>
                        <w:szCs w:val="18"/>
                      </w:rPr>
                      <w:t>有组织排放</w:t>
                    </w:r>
                  </w:p>
                </w:tc>
                <w:tc>
                  <w:tcPr>
                    <w:tcW w:w="1059" w:type="dxa"/>
                  </w:tcPr>
                  <w:p>
                    <w:pPr>
                      <w:pStyle w:val="49"/>
                      <w:widowControl w:val="0"/>
                      <w:ind w:firstLine="0" w:firstLineChars="0"/>
                      <w:jc w:val="both"/>
                      <w:rPr>
                        <w:sz w:val="18"/>
                        <w:szCs w:val="18"/>
                      </w:rPr>
                    </w:pPr>
                    <w:r>
                      <w:rPr>
                        <w:sz w:val="18"/>
                        <w:szCs w:val="18"/>
                      </w:rPr>
                      <w:t>25个</w:t>
                    </w:r>
                  </w:p>
                </w:tc>
                <w:tc>
                  <w:tcPr>
                    <w:tcW w:w="1317" w:type="dxa"/>
                  </w:tcPr>
                  <w:p>
                    <w:pPr>
                      <w:pStyle w:val="49"/>
                      <w:widowControl w:val="0"/>
                      <w:ind w:firstLine="0" w:firstLineChars="0"/>
                      <w:jc w:val="both"/>
                      <w:rPr>
                        <w:sz w:val="18"/>
                        <w:szCs w:val="18"/>
                      </w:rPr>
                    </w:pPr>
                    <w:r>
                      <w:rPr>
                        <w:sz w:val="18"/>
                        <w:szCs w:val="18"/>
                      </w:rPr>
                      <w:t>8-30mg/m</w:t>
                    </w:r>
                    <w:r>
                      <w:rPr>
                        <w:sz w:val="18"/>
                        <w:szCs w:val="18"/>
                        <w:vertAlign w:val="superscript"/>
                      </w:rPr>
                      <w:t>3</w:t>
                    </w:r>
                  </w:p>
                </w:tc>
                <w:tc>
                  <w:tcPr>
                    <w:tcW w:w="1272" w:type="dxa"/>
                  </w:tcPr>
                  <w:p>
                    <w:pPr>
                      <w:pStyle w:val="49"/>
                      <w:widowControl w:val="0"/>
                      <w:ind w:firstLine="0" w:firstLineChars="0"/>
                      <w:jc w:val="both"/>
                      <w:rPr>
                        <w:sz w:val="18"/>
                        <w:szCs w:val="18"/>
                      </w:rPr>
                    </w:pPr>
                    <w:r>
                      <w:rPr>
                        <w:sz w:val="18"/>
                        <w:szCs w:val="18"/>
                      </w:rPr>
                      <w:t>7312.15</w:t>
                    </w:r>
                    <w:r>
                      <w:rPr>
                        <w:rFonts w:hint="eastAsia"/>
                        <w:sz w:val="18"/>
                        <w:szCs w:val="18"/>
                      </w:rPr>
                      <w:t>吨</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rFonts w:hint="eastAsia"/>
                        <w:sz w:val="18"/>
                        <w:szCs w:val="18"/>
                      </w:rPr>
                      <w:t>10-50</w:t>
                    </w:r>
                    <w:r>
                      <w:rPr>
                        <w:sz w:val="18"/>
                        <w:szCs w:val="18"/>
                      </w:rPr>
                      <w:t>mg/m</w:t>
                    </w:r>
                    <w:r>
                      <w:rPr>
                        <w:sz w:val="18"/>
                        <w:szCs w:val="18"/>
                        <w:vertAlign w:val="superscript"/>
                      </w:rPr>
                      <w:t>3</w:t>
                    </w:r>
                  </w:p>
                </w:tc>
                <w:tc>
                  <w:tcPr>
                    <w:tcW w:w="1092" w:type="dxa"/>
                  </w:tcPr>
                  <w:p>
                    <w:pPr>
                      <w:pStyle w:val="49"/>
                      <w:widowControl w:val="0"/>
                      <w:ind w:firstLine="0" w:firstLineChars="0"/>
                      <w:jc w:val="both"/>
                      <w:rPr>
                        <w:sz w:val="18"/>
                        <w:szCs w:val="18"/>
                      </w:rPr>
                    </w:pPr>
                    <w:r>
                      <w:rPr>
                        <w:sz w:val="18"/>
                        <w:szCs w:val="1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49"/>
                      <w:widowControl w:val="0"/>
                      <w:ind w:firstLine="0" w:firstLineChars="0"/>
                      <w:jc w:val="both"/>
                      <w:rPr>
                        <w:sz w:val="18"/>
                        <w:szCs w:val="18"/>
                      </w:rPr>
                    </w:pPr>
                    <w:r>
                      <w:rPr>
                        <w:sz w:val="18"/>
                        <w:szCs w:val="18"/>
                      </w:rPr>
                      <w:t>固体废弃物利用率</w:t>
                    </w:r>
                  </w:p>
                </w:tc>
                <w:tc>
                  <w:tcPr>
                    <w:tcW w:w="1168" w:type="dxa"/>
                  </w:tcPr>
                  <w:p>
                    <w:pPr>
                      <w:pStyle w:val="49"/>
                      <w:widowControl w:val="0"/>
                      <w:ind w:firstLine="0" w:firstLineChars="0"/>
                      <w:jc w:val="both"/>
                      <w:rPr>
                        <w:sz w:val="18"/>
                        <w:szCs w:val="18"/>
                      </w:rPr>
                    </w:pPr>
                    <w:r>
                      <w:rPr>
                        <w:sz w:val="18"/>
                        <w:szCs w:val="18"/>
                      </w:rPr>
                      <w:t>综合利用</w:t>
                    </w:r>
                  </w:p>
                </w:tc>
                <w:tc>
                  <w:tcPr>
                    <w:tcW w:w="1059" w:type="dxa"/>
                  </w:tcPr>
                  <w:p>
                    <w:pPr>
                      <w:pStyle w:val="49"/>
                      <w:widowControl w:val="0"/>
                      <w:ind w:firstLine="0" w:firstLineChars="0"/>
                      <w:jc w:val="both"/>
                      <w:rPr>
                        <w:sz w:val="18"/>
                        <w:szCs w:val="18"/>
                      </w:rPr>
                    </w:pPr>
                    <w:r>
                      <w:rPr>
                        <w:sz w:val="18"/>
                        <w:szCs w:val="18"/>
                      </w:rPr>
                      <w:t> </w:t>
                    </w:r>
                    <w:r>
                      <w:rPr>
                        <w:rFonts w:hint="eastAsia"/>
                        <w:sz w:val="18"/>
                        <w:szCs w:val="18"/>
                      </w:rPr>
                      <w:t>/</w:t>
                    </w:r>
                  </w:p>
                </w:tc>
                <w:tc>
                  <w:tcPr>
                    <w:tcW w:w="1317" w:type="dxa"/>
                  </w:tcPr>
                  <w:p>
                    <w:pPr>
                      <w:pStyle w:val="49"/>
                      <w:widowControl w:val="0"/>
                      <w:ind w:firstLine="0" w:firstLineChars="0"/>
                      <w:jc w:val="both"/>
                      <w:rPr>
                        <w:sz w:val="18"/>
                        <w:szCs w:val="18"/>
                      </w:rPr>
                    </w:pPr>
                    <w:r>
                      <w:rPr>
                        <w:sz w:val="18"/>
                        <w:szCs w:val="18"/>
                      </w:rPr>
                      <w:t>无要求</w:t>
                    </w:r>
                  </w:p>
                </w:tc>
                <w:tc>
                  <w:tcPr>
                    <w:tcW w:w="1272" w:type="dxa"/>
                  </w:tcPr>
                  <w:p>
                    <w:pPr>
                      <w:pStyle w:val="49"/>
                      <w:widowControl w:val="0"/>
                      <w:ind w:firstLine="0" w:firstLineChars="0"/>
                      <w:jc w:val="both"/>
                      <w:rPr>
                        <w:sz w:val="18"/>
                        <w:szCs w:val="18"/>
                      </w:rPr>
                    </w:pPr>
                    <w:r>
                      <w:rPr>
                        <w:sz w:val="18"/>
                        <w:szCs w:val="18"/>
                      </w:rPr>
                      <w:t>95.2%</w:t>
                    </w:r>
                  </w:p>
                </w:tc>
                <w:tc>
                  <w:tcPr>
                    <w:tcW w:w="854" w:type="dxa"/>
                  </w:tcPr>
                  <w:p>
                    <w:pPr>
                      <w:pStyle w:val="49"/>
                      <w:widowControl w:val="0"/>
                      <w:ind w:firstLine="0" w:firstLineChars="0"/>
                      <w:jc w:val="both"/>
                      <w:rPr>
                        <w:sz w:val="18"/>
                        <w:szCs w:val="18"/>
                      </w:rPr>
                    </w:pPr>
                    <w:r>
                      <w:rPr>
                        <w:sz w:val="18"/>
                        <w:szCs w:val="18"/>
                      </w:rPr>
                      <w:t>否</w:t>
                    </w:r>
                  </w:p>
                </w:tc>
                <w:tc>
                  <w:tcPr>
                    <w:tcW w:w="1328" w:type="dxa"/>
                  </w:tcPr>
                  <w:p>
                    <w:pPr>
                      <w:pStyle w:val="49"/>
                      <w:widowControl w:val="0"/>
                      <w:ind w:firstLine="0" w:firstLineChars="0"/>
                      <w:jc w:val="both"/>
                      <w:rPr>
                        <w:sz w:val="18"/>
                        <w:szCs w:val="18"/>
                      </w:rPr>
                    </w:pPr>
                    <w:r>
                      <w:rPr>
                        <w:sz w:val="18"/>
                        <w:szCs w:val="18"/>
                      </w:rPr>
                      <w:t>无要求</w:t>
                    </w:r>
                  </w:p>
                </w:tc>
                <w:tc>
                  <w:tcPr>
                    <w:tcW w:w="1092" w:type="dxa"/>
                  </w:tcPr>
                  <w:p>
                    <w:pPr>
                      <w:pStyle w:val="49"/>
                      <w:widowControl w:val="0"/>
                      <w:ind w:firstLine="0" w:firstLineChars="0"/>
                      <w:jc w:val="both"/>
                      <w:rPr>
                        <w:sz w:val="18"/>
                        <w:szCs w:val="18"/>
                      </w:rPr>
                    </w:pPr>
                    <w:r>
                      <w:rPr>
                        <w:sz w:val="18"/>
                        <w:szCs w:val="18"/>
                      </w:rPr>
                      <w:t>无要求</w:t>
                    </w:r>
                  </w:p>
                </w:tc>
              </w:tr>
            </w:tbl>
            <w:p>
              <w:pPr>
                <w:pStyle w:val="76"/>
              </w:pPr>
            </w:p>
          </w:sdtContent>
        </w:sdt>
        <w:p>
          <w:pPr>
            <w:pStyle w:val="76"/>
          </w:pPr>
        </w:p>
      </w:sdtContent>
    </w:sdt>
    <w:sdt>
      <w:sdtPr>
        <w:rPr>
          <w:rFonts w:hint="eastAsia" w:ascii="Calibri" w:hAnsi="Calibri"/>
          <w:b w:val="0"/>
          <w:bCs w:val="0"/>
          <w:szCs w:val="22"/>
        </w:rPr>
        <w:alias w:val="模块:防治污染设施的建设和运行情况"/>
        <w:tag w:val="_SEC_9647358b46c84a02b09d75557c728419"/>
        <w:id w:val="25153798"/>
        <w:lock w:val="sdtLocked"/>
        <w:placeholder>
          <w:docPart w:val="GBC22222222222222222222222222222"/>
        </w:placeholder>
      </w:sdtPr>
      <w:sdtEndPr>
        <w:rPr>
          <w:rFonts w:hint="eastAsia" w:ascii="宋体" w:hAnsi="宋体"/>
          <w:b w:val="0"/>
          <w:bCs w:val="0"/>
          <w:szCs w:val="22"/>
        </w:rPr>
      </w:sdtEndPr>
      <w:sdtContent>
        <w:p>
          <w:pPr>
            <w:pStyle w:val="5"/>
            <w:numPr>
              <w:ilvl w:val="0"/>
              <w:numId w:val="25"/>
            </w:numPr>
            <w:rPr>
              <w:rFonts w:ascii="Arial" w:hAnsi="Arial"/>
              <w:bCs w:val="0"/>
              <w:szCs w:val="21"/>
            </w:rPr>
          </w:pPr>
          <w:r>
            <w:rPr>
              <w:rFonts w:hint="eastAsia"/>
            </w:rPr>
            <w:t>防治污染设</w:t>
          </w:r>
          <w:r>
            <w:rPr>
              <w:rFonts w:hint="eastAsia" w:ascii="Arial" w:hAnsi="Arial"/>
              <w:szCs w:val="21"/>
            </w:rPr>
            <w:t>施的建设和运行情况</w:t>
          </w:r>
        </w:p>
        <w:sdt>
          <w:sdtPr>
            <w:alias w:val="是否适用：防治污染设施的建设和运行情况[双击切换]"/>
            <w:tag w:val="_GBC_e5a6ee71f2e449e58d9301e4ca07981f"/>
            <w:id w:val="2515379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1c83977b65834eaa98d6c63b6e3074af"/>
            <w:id w:val="25153797"/>
            <w:lock w:val="sdtLocked"/>
            <w:placeholder>
              <w:docPart w:val="GBC22222222222222222222222222222"/>
            </w:placeholder>
          </w:sdtPr>
          <w:sdtContent>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公司始终把环境保护、节能减排放到企业生存和促进社会和谐发展的高度，牢固树立“企业与城市共融”的发展理念，把环境保护提升到公司发展战略中，提出了创建“绿色柳钢”的目标，坚持清洁生产和可持续发展，大力推进节能减排和发展循环经济，走出一条现代化钢铁企业与城市和谐发展的道路，实现更清洁、更节能、更环保的钢铁生产，使企业的经济效益、社会效益与环保效益达到有机统一，履行高度负责的社会责任。</w:t>
              </w:r>
            </w:p>
            <w:p>
              <w:pPr>
                <w:ind w:firstLine="420" w:firstLineChars="200"/>
                <w:rPr>
                  <w:rFonts w:asciiTheme="minorEastAsia" w:hAnsiTheme="minorEastAsia" w:eastAsiaTheme="minorEastAsia"/>
                  <w:color w:val="0C0C0C"/>
                </w:rPr>
              </w:pPr>
              <w:r>
                <w:rPr>
                  <w:rFonts w:hint="eastAsia" w:asciiTheme="minorEastAsia" w:hAnsiTheme="minorEastAsia" w:eastAsiaTheme="minorEastAsia"/>
                  <w:color w:val="0C0C0C"/>
                </w:rPr>
                <w:t>1.减少废气排放的措施</w:t>
              </w:r>
            </w:p>
            <w:p>
              <w:pPr>
                <w:ind w:firstLine="420" w:firstLineChars="200"/>
                <w:rPr>
                  <w:rFonts w:asciiTheme="minorEastAsia" w:hAnsiTheme="minorEastAsia" w:eastAsiaTheme="minorEastAsia"/>
                  <w:color w:val="0C0C0C"/>
                </w:rPr>
              </w:pPr>
              <w:r>
                <w:rPr>
                  <w:rFonts w:hint="eastAsia" w:asciiTheme="minorEastAsia" w:hAnsiTheme="minorEastAsia" w:eastAsiaTheme="minorEastAsia"/>
                  <w:color w:val="0C0C0C"/>
                </w:rPr>
                <w:t>公司每个工序都建有废气治理设施，在运行的废气治理设施总共200多套，在国内率先实现球团、烧结机头烟气全脱硫，极大减少烟尘、SO</w:t>
              </w:r>
              <w:r>
                <w:rPr>
                  <w:rFonts w:hint="eastAsia" w:asciiTheme="minorEastAsia" w:hAnsiTheme="minorEastAsia" w:eastAsiaTheme="minorEastAsia"/>
                  <w:color w:val="0C0C0C"/>
                  <w:vertAlign w:val="subscript"/>
                </w:rPr>
                <w:t>2</w:t>
              </w:r>
              <w:r>
                <w:rPr>
                  <w:rFonts w:hint="eastAsia" w:asciiTheme="minorEastAsia" w:hAnsiTheme="minorEastAsia" w:eastAsiaTheme="minorEastAsia"/>
                  <w:color w:val="0C0C0C"/>
                </w:rPr>
                <w:t>、NOx的排放量。2018年上半年投资1500万元建设20万吨/年转炉灰压球项目，项目投入运行后极大减少颗粒物排放和提高转炉灰的综合利用率。</w:t>
              </w:r>
            </w:p>
            <w:p>
              <w:pPr>
                <w:ind w:firstLine="420" w:firstLineChars="200"/>
                <w:rPr>
                  <w:rFonts w:asciiTheme="minorEastAsia" w:hAnsiTheme="minorEastAsia" w:eastAsiaTheme="minorEastAsia"/>
                  <w:color w:val="0C0C0C"/>
                </w:rPr>
              </w:pPr>
              <w:r>
                <w:rPr>
                  <w:rFonts w:hint="eastAsia" w:asciiTheme="minorEastAsia" w:hAnsiTheme="minorEastAsia" w:eastAsiaTheme="minorEastAsia"/>
                  <w:color w:val="0C0C0C"/>
                </w:rPr>
                <w:t>2.减少废水排放的措施</w:t>
              </w:r>
            </w:p>
            <w:p>
              <w:pPr>
                <w:ind w:firstLine="420" w:firstLineChars="200"/>
                <w:outlineLvl w:val="0"/>
                <w:rPr>
                  <w:rFonts w:asciiTheme="minorEastAsia" w:hAnsiTheme="minorEastAsia" w:eastAsiaTheme="minorEastAsia"/>
                  <w:color w:val="0C0C0C"/>
                </w:rPr>
              </w:pPr>
              <w:r>
                <w:rPr>
                  <w:rFonts w:hint="eastAsia" w:asciiTheme="minorEastAsia" w:hAnsiTheme="minorEastAsia" w:eastAsiaTheme="minorEastAsia"/>
                  <w:color w:val="0C0C0C"/>
                </w:rPr>
                <w:t>公司每个用水工序都建有水处理系统，所有工艺用水都实施循环利用。投资1.2亿元对外排工业废水进行治理，建设三座工业废水集中处理站，废水处理后作为工业新水回用。2018年上半年投资3000万元的焦化废水后置反硝化系统投入运行，焦化废水中的总氮污染物下降76%，加强三座工业废水集中处理站运行管理，回收工业废水2400万吨，回用中水2300万吨，经济效益和社会效益显著。</w:t>
              </w:r>
            </w:p>
            <w:p>
              <w:pPr>
                <w:ind w:firstLine="420" w:firstLineChars="200"/>
                <w:outlineLvl w:val="0"/>
                <w:rPr>
                  <w:rFonts w:asciiTheme="minorEastAsia" w:hAnsiTheme="minorEastAsia" w:eastAsiaTheme="minorEastAsia"/>
                  <w:color w:val="0C0C0C"/>
                </w:rPr>
              </w:pPr>
              <w:r>
                <w:rPr>
                  <w:rFonts w:hint="eastAsia" w:asciiTheme="minorEastAsia" w:hAnsiTheme="minorEastAsia" w:eastAsiaTheme="minorEastAsia"/>
                  <w:color w:val="0C0C0C"/>
                </w:rPr>
                <w:t>3.减少废弃物排放措施</w:t>
              </w:r>
            </w:p>
            <w:p>
              <w:pPr>
                <w:ind w:firstLine="420" w:firstLineChars="200"/>
                <w:outlineLvl w:val="0"/>
                <w:rPr>
                  <w:rFonts w:asciiTheme="minorEastAsia" w:hAnsiTheme="minorEastAsia" w:eastAsiaTheme="minorEastAsia"/>
                  <w:color w:val="0C0C0C"/>
                </w:rPr>
              </w:pPr>
              <w:r>
                <w:rPr>
                  <w:rFonts w:hint="eastAsia" w:asciiTheme="minorEastAsia" w:hAnsiTheme="minorEastAsia" w:eastAsiaTheme="minorEastAsia"/>
                  <w:color w:val="0C0C0C"/>
                </w:rPr>
                <w:t>公司生产过程一直遵循清洁生产和循环经济原则，从源头上减少废弃物的产生，积极采用新技术减少污染物生产，如提高入炉品位，减少有害元素、无用物料进入。专门制订了《固体废物管理办法》并每月进行检查。在焦化、烧结和炼钢工序建立专门的废弃物消纳工序，如氧化铁皮回收利用、高炉灰、转炉灰回收利用等，减少废弃物的排放。</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4.危险废弃物管理措施</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公司专门制订了《固体废物管理办法》，建立健全固体废物尤其是危险废物的管理、处置机制，要求所有危险废物必须执行鉴别申报制度；危险废物的收集由专业部门统一分类收集；危险废物临时存放点必须设置危废标志，做好防火灾、防爆炸、防雨淋等措施；危险废物的处置委托具备危险废物经营许可证的资质单位处置，转移过程中必须如实填写“危险废物转移联单”。到目前止，柳钢危险废物的管理是有效的，2018年上半年未发生环境安全事故。</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5.积极应对气候变化</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公司积极采取措施应对全球气候变暖。采用先进工艺技术与装备、高效清洁能源、加大节能减排措施力度减少CO</w:t>
              </w:r>
              <w:r>
                <w:rPr>
                  <w:rFonts w:hint="eastAsia" w:asciiTheme="minorEastAsia" w:hAnsiTheme="minorEastAsia" w:eastAsiaTheme="minorEastAsia"/>
                  <w:color w:val="000000"/>
                  <w:vertAlign w:val="subscript"/>
                </w:rPr>
                <w:t>2</w:t>
              </w:r>
              <w:r>
                <w:rPr>
                  <w:rFonts w:hint="eastAsia" w:asciiTheme="minorEastAsia" w:hAnsiTheme="minorEastAsia" w:eastAsiaTheme="minorEastAsia"/>
                  <w:color w:val="000000"/>
                </w:rPr>
                <w:t>排放，先后建成干熄焦余热发电、TRT高炉煤气余压发电、转炉饱和蒸汽发电和烧结环冷余热发电等CO</w:t>
              </w:r>
              <w:r>
                <w:rPr>
                  <w:rFonts w:hint="eastAsia" w:asciiTheme="minorEastAsia" w:hAnsiTheme="minorEastAsia" w:eastAsiaTheme="minorEastAsia"/>
                  <w:color w:val="000000"/>
                  <w:vertAlign w:val="subscript"/>
                </w:rPr>
                <w:t>2</w:t>
              </w:r>
              <w:r>
                <w:rPr>
                  <w:rFonts w:hint="eastAsia" w:asciiTheme="minorEastAsia" w:hAnsiTheme="minorEastAsia" w:eastAsiaTheme="minorEastAsia"/>
                  <w:color w:val="000000"/>
                </w:rPr>
                <w:t>减排项目，自发电已占全公司用电的80%以上，在国内处于领先水平，为CO</w:t>
              </w:r>
              <w:r>
                <w:rPr>
                  <w:rFonts w:hint="eastAsia" w:asciiTheme="minorEastAsia" w:hAnsiTheme="minorEastAsia" w:eastAsiaTheme="minorEastAsia"/>
                  <w:color w:val="000000"/>
                  <w:vertAlign w:val="subscript"/>
                </w:rPr>
                <w:t>2</w:t>
              </w:r>
              <w:r>
                <w:rPr>
                  <w:rFonts w:hint="eastAsia" w:asciiTheme="minorEastAsia" w:hAnsiTheme="minorEastAsia" w:eastAsiaTheme="minorEastAsia"/>
                  <w:color w:val="000000"/>
                </w:rPr>
                <w:t>减排做出了重要贡献。</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6.生产噪声治理</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公司积极治理生产噪音。对噪音超标的设备采取降噪措施。如高炉煤气管道噪音，采取膨胀机消压后发电、制氧空分机噪音采取双层隔音消声措施、岗位噪音采取密封隔音措施，全公司共安装消声器120套，极大地减少噪音污染，每季度对厂界噪音进行监测，厂界噪音控制在标准值内。</w:t>
              </w:r>
            </w:p>
            <w:p>
              <w:pPr>
                <w:ind w:firstLine="420" w:firstLineChars="200"/>
                <w:outlineLvl w:val="0"/>
                <w:rPr>
                  <w:rFonts w:asciiTheme="minorEastAsia" w:hAnsiTheme="minorEastAsia" w:eastAsiaTheme="minorEastAsia"/>
                  <w:color w:val="000000"/>
                </w:rPr>
              </w:pPr>
              <w:r>
                <w:rPr>
                  <w:rFonts w:hint="eastAsia" w:asciiTheme="minorEastAsia" w:hAnsiTheme="minorEastAsia" w:eastAsiaTheme="minorEastAsia"/>
                  <w:color w:val="000000"/>
                </w:rPr>
                <w:t>7.厂区及周边生态环境治理</w:t>
              </w:r>
            </w:p>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公司在生产经营过程中十分重视生态环境建设，成立专门绿化美化部门，负责公司的绿化美化工作，实现企业生产与自然生态协调可持续发展。在厂区道路、厂界建设防护林带、绿化带，发挥绿化降噪防尘的功效。</w:t>
              </w:r>
            </w:p>
          </w:sdtContent>
        </w:sdt>
        <w:p>
          <w:pPr>
            <w:pStyle w:val="49"/>
            <w:ind w:firstLine="0" w:firstLineChars="0"/>
          </w:pPr>
        </w:p>
      </w:sdtContent>
    </w:sdt>
    <w:sdt>
      <w:sdtPr>
        <w:rPr>
          <w:rFonts w:hint="eastAsia" w:ascii="Arial" w:hAnsi="Arial"/>
          <w:b w:val="0"/>
          <w:bCs w:val="0"/>
          <w:szCs w:val="21"/>
        </w:rPr>
        <w:alias w:val="模块:建设项目环境影响评价及其他环境保护行政许可情况"/>
        <w:tag w:val="_SEC_2708d5a25473420b9cd1646eac86c715"/>
        <w:id w:val="25153808"/>
        <w:lock w:val="sdtLocked"/>
        <w:placeholder>
          <w:docPart w:val="GBC22222222222222222222222222222"/>
        </w:placeholder>
      </w:sdtPr>
      <w:sdtEndPr>
        <w:rPr>
          <w:rFonts w:hint="eastAsia" w:ascii="宋体" w:hAnsi="宋体"/>
          <w:b w:val="0"/>
          <w:bCs w:val="0"/>
          <w:szCs w:val="21"/>
        </w:rPr>
      </w:sdtEndPr>
      <w:sdtContent>
        <w:p>
          <w:pPr>
            <w:pStyle w:val="5"/>
            <w:numPr>
              <w:ilvl w:val="0"/>
              <w:numId w:val="25"/>
            </w:numPr>
            <w:rPr>
              <w:rFonts w:ascii="Calibri" w:hAnsi="Calibri"/>
              <w:bCs w:val="0"/>
              <w:szCs w:val="22"/>
            </w:rPr>
          </w:pPr>
          <w:r>
            <w:rPr>
              <w:rFonts w:hint="eastAsia" w:ascii="Arial" w:hAnsi="Arial"/>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25153806"/>
            <w:lock w:val="sdtContentLocked"/>
            <w:placeholder>
              <w:docPart w:val="GBC22222222222222222222222222222"/>
            </w:placeholder>
          </w:sdtPr>
          <w:sdtEndPr>
            <w:rPr>
              <w:rFonts w:hint="eastAsia"/>
            </w:rPr>
          </w:sdtEndPr>
          <w:sdtContent>
            <w:p>
              <w:pPr>
                <w:pStyle w:val="49"/>
                <w:ind w:firstLine="0" w:firstLineChars="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环境影响评价及其他环境保护行政许可"/>
            <w:tag w:val="_GBC_8592b333277f43349f710f284bb4c167"/>
            <w:id w:val="25153807"/>
            <w:lock w:val="sdtLocked"/>
            <w:placeholder>
              <w:docPart w:val="GBC22222222222222222222222222222"/>
            </w:placeholder>
          </w:sdtPr>
          <w:sdtContent>
            <w:p>
              <w:pPr>
                <w:pStyle w:val="76"/>
              </w:pPr>
              <w:r>
                <w:rPr>
                  <w:rFonts w:hint="eastAsia"/>
                </w:rPr>
                <w:t xml:space="preserve">    </w:t>
              </w:r>
              <w:r>
                <w:rPr>
                  <w:rFonts w:hint="eastAsia"/>
                  <w:color w:val="000000"/>
                </w:rPr>
                <w:t>公司严格执行环境保护法，所有项目进行环境影响评价。2018年上半年积极开展工程项目环评和验收工作。完成JN60-6型焦炉荒煤气废热回收与综合利用建设项目</w:t>
              </w:r>
              <w:r>
                <w:rPr>
                  <w:rFonts w:hint="eastAsia"/>
                </w:rPr>
                <w:t>。</w:t>
              </w:r>
            </w:p>
          </w:sdtContent>
        </w:sdt>
        <w:p>
          <w:pPr>
            <w:pStyle w:val="76"/>
          </w:pPr>
        </w:p>
      </w:sdtContent>
    </w:sdt>
    <w:sdt>
      <w:sdtPr>
        <w:rPr>
          <w:rFonts w:hint="eastAsia" w:ascii="Arial" w:hAnsi="Arial"/>
          <w:b w:val="0"/>
          <w:bCs w:val="0"/>
          <w:szCs w:val="21"/>
        </w:rPr>
        <w:alias w:val="模块:突发环境事件应急预案"/>
        <w:tag w:val="_SEC_8a186947e6794ae7a56369fd5232b227"/>
        <w:id w:val="25153811"/>
        <w:lock w:val="sdtLocked"/>
        <w:placeholder>
          <w:docPart w:val="GBC22222222222222222222222222222"/>
        </w:placeholder>
      </w:sdtPr>
      <w:sdtEndPr>
        <w:rPr>
          <w:rFonts w:hint="default" w:ascii="宋体" w:hAnsi="宋体"/>
          <w:b w:val="0"/>
          <w:bCs w:val="0"/>
          <w:szCs w:val="21"/>
        </w:rPr>
      </w:sdtEndPr>
      <w:sdtContent>
        <w:p>
          <w:pPr>
            <w:pStyle w:val="5"/>
            <w:numPr>
              <w:ilvl w:val="0"/>
              <w:numId w:val="25"/>
            </w:numPr>
          </w:pPr>
          <w:r>
            <w:rPr>
              <w:rFonts w:hint="eastAsia" w:ascii="Arial" w:hAnsi="Arial"/>
              <w:szCs w:val="21"/>
            </w:rPr>
            <w:t>突发环境事件应急预案</w:t>
          </w:r>
        </w:p>
        <w:sdt>
          <w:sdtPr>
            <w:alias w:val="是否适用：突发环境事件应急预案[双击切换]"/>
            <w:tag w:val="_GBC_df8be27e0fe04478b8e2d99d253dbf26"/>
            <w:id w:val="2515380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突发环境事件应急预案"/>
            <w:tag w:val="_GBC_2185e6aced094c6c8ba2229f13fa085b"/>
            <w:id w:val="25153810"/>
            <w:lock w:val="sdtLocked"/>
            <w:placeholder>
              <w:docPart w:val="GBC22222222222222222222222222222"/>
            </w:placeholder>
          </w:sdtPr>
          <w:sdtContent>
            <w:p>
              <w:pPr>
                <w:ind w:firstLine="420" w:firstLineChars="200"/>
                <w:rPr>
                  <w:color w:val="000000"/>
                  <w:highlight w:val="yellow"/>
                </w:rPr>
              </w:pPr>
              <w:r>
                <w:rPr>
                  <w:rFonts w:hint="eastAsia"/>
                  <w:color w:val="000000"/>
                </w:rPr>
                <w:t>公司建立了完善的环境污染应急准备与响应机制，成立应急救援领导小组，明确应急救援的职责、措施及应急处置流程，强化污染应急演练，认真抓好污染应急评审。上半年共组织开展各类污染应急演练6次，对重点工序如焦化焦油粗苯泄漏、废油大量泄漏、氨水泄漏、污水站突发故障等开展了应急演练。</w:t>
              </w:r>
            </w:p>
          </w:sdtContent>
        </w:sdt>
        <w:p>
          <w:pPr>
            <w:pStyle w:val="76"/>
          </w:pPr>
        </w:p>
      </w:sdtContent>
    </w:sdt>
    <w:sdt>
      <w:sdtPr>
        <w:rPr>
          <w:rFonts w:hint="eastAsia" w:ascii="Arial" w:hAnsi="Arial"/>
          <w:b w:val="0"/>
          <w:bCs w:val="0"/>
          <w:szCs w:val="21"/>
        </w:rPr>
        <w:alias w:val="模块:环境自行监测方案"/>
        <w:tag w:val="_SEC_9756f3e7d2714d9788f7344c9c15bb49"/>
        <w:id w:val="25153814"/>
        <w:lock w:val="sdtLocked"/>
        <w:placeholder>
          <w:docPart w:val="GBC22222222222222222222222222222"/>
        </w:placeholder>
      </w:sdtPr>
      <w:sdtEndPr>
        <w:rPr>
          <w:rFonts w:hint="default" w:ascii="宋体" w:hAnsi="宋体"/>
          <w:b w:val="0"/>
          <w:bCs w:val="0"/>
          <w:szCs w:val="21"/>
        </w:rPr>
      </w:sdtEndPr>
      <w:sdtContent>
        <w:p>
          <w:pPr>
            <w:pStyle w:val="5"/>
            <w:numPr>
              <w:ilvl w:val="0"/>
              <w:numId w:val="25"/>
            </w:numPr>
            <w:rPr>
              <w:rFonts w:ascii="Calibri" w:hAnsi="Calibri"/>
              <w:bCs w:val="0"/>
              <w:szCs w:val="22"/>
            </w:rPr>
          </w:pPr>
          <w:r>
            <w:rPr>
              <w:rFonts w:hint="eastAsia" w:ascii="Arial" w:hAnsi="Arial"/>
              <w:szCs w:val="21"/>
            </w:rPr>
            <w:t>环境自行监测方案</w:t>
          </w:r>
        </w:p>
        <w:sdt>
          <w:sdtPr>
            <w:rPr>
              <w:rFonts w:hint="eastAsia"/>
            </w:rPr>
            <w:alias w:val="是否适用：环境自行监测方案[双击切换]"/>
            <w:tag w:val="_GBC_8282bd073e454f33b6fa8f66542c0ea4"/>
            <w:id w:val="25153812"/>
            <w:lock w:val="sdtContentLocked"/>
            <w:placeholder>
              <w:docPart w:val="GBC22222222222222222222222222222"/>
            </w:placeholder>
          </w:sdtPr>
          <w:sdtEndPr>
            <w:rPr>
              <w:rFonts w:hint="eastAsia"/>
            </w:rPr>
          </w:sdtEndPr>
          <w:sdtContent>
            <w:p>
              <w:pPr>
                <w:pStyle w:val="49"/>
                <w:ind w:firstLine="0" w:firstLineChars="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4"/>
            </w:rPr>
            <w:alias w:val="环境自行监测方案"/>
            <w:tag w:val="_GBC_fcc9259ff58741f496af8580b408371e"/>
            <w:id w:val="25153813"/>
            <w:lock w:val="sdtLocked"/>
            <w:placeholder>
              <w:docPart w:val="GBC22222222222222222222222222222"/>
            </w:placeholder>
          </w:sdtPr>
          <w:sdtEndPr>
            <w:rPr>
              <w:szCs w:val="24"/>
            </w:rPr>
          </w:sdtEndPr>
          <w:sdtContent>
            <w:p>
              <w:pPr>
                <w:ind w:firstLine="420" w:firstLineChars="200"/>
              </w:pPr>
              <w:r>
                <w:rPr>
                  <w:rFonts w:hint="eastAsia"/>
                </w:rPr>
                <w:t>公司严格按照新排污许可证相关要求《排污许可证管理条例》和《国家重点监控企业自行监测及信息公开办法》要求制定企业环境自行监测方案，对公司排放污染物的监测指标、监测点位、监测频次、监测方法、 执行排放标准及标准限值等进行了明确规定，并在广西企业监测信息公开平台进行发布。</w:t>
              </w:r>
            </w:p>
            <w:p>
              <w:pPr>
                <w:pStyle w:val="76"/>
              </w:pPr>
            </w:p>
          </w:sdtContent>
        </w:sdt>
      </w:sdtContent>
    </w:sdt>
    <w:p>
      <w:pPr>
        <w:pStyle w:val="76"/>
      </w:pPr>
    </w:p>
    <w:sdt>
      <w:sdtPr>
        <w:rPr>
          <w:rFonts w:hint="eastAsia" w:ascii="Arial" w:hAnsi="Arial" w:cs="Times New Roman"/>
          <w:b w:val="0"/>
          <w:bCs w:val="0"/>
          <w:kern w:val="2"/>
          <w:szCs w:val="21"/>
        </w:rPr>
        <w:alias w:val="模块:其他应当公开的环境信息"/>
        <w:tag w:val="_SEC_c87c813c87604960a2e846d148a1280c"/>
        <w:id w:val="25153816"/>
        <w:lock w:val="sdtLocked"/>
        <w:placeholder>
          <w:docPart w:val="GBC22222222222222222222222222222"/>
        </w:placeholder>
      </w:sdtPr>
      <w:sdtEndPr>
        <w:rPr>
          <w:rFonts w:hint="eastAsia" w:ascii="宋体" w:hAnsi="宋体" w:cs="Times New Roman"/>
          <w:b w:val="0"/>
          <w:bCs w:val="0"/>
          <w:kern w:val="2"/>
          <w:szCs w:val="21"/>
        </w:rPr>
      </w:sdtEndPr>
      <w:sdtContent>
        <w:p>
          <w:pPr>
            <w:pStyle w:val="5"/>
            <w:numPr>
              <w:ilvl w:val="0"/>
              <w:numId w:val="25"/>
            </w:numPr>
            <w:rPr>
              <w:rFonts w:ascii="Calibri" w:hAnsi="Calibri"/>
              <w:bCs w:val="0"/>
              <w:szCs w:val="22"/>
            </w:rPr>
          </w:pPr>
          <w:r>
            <w:rPr>
              <w:rFonts w:hint="eastAsia" w:ascii="Arial" w:hAnsi="Arial"/>
              <w:szCs w:val="21"/>
            </w:rPr>
            <w:t>其他应当公开的环境信息</w:t>
          </w:r>
        </w:p>
        <w:sdt>
          <w:sdtPr>
            <w:alias w:val="是否适用：其他应当公开的环境信息[双击切换]"/>
            <w:tag w:val="_GBC_b667f965a34943718106b9347a0b30af"/>
            <w:id w:val="2515381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b w:val="0"/>
          <w:bCs w:val="0"/>
          <w:szCs w:val="24"/>
        </w:rPr>
        <w:alias w:val="模块:重点排污单位之外的公司的环保情况说明 "/>
        <w:tag w:val="_SEC_bfa32e5ef2364f6689da91138dfa9ec9"/>
        <w:id w:val="25153818"/>
        <w:lock w:val="sdtLocked"/>
        <w:placeholder>
          <w:docPart w:val="GBC22222222222222222222222222222"/>
        </w:placeholder>
      </w:sdtPr>
      <w:sdtEndPr>
        <w:rPr>
          <w:rFonts w:hint="eastAsia"/>
          <w:b w:val="0"/>
          <w:bCs w:val="0"/>
          <w:szCs w:val="21"/>
        </w:rPr>
      </w:sdtEndPr>
      <w:sdtContent>
        <w:p>
          <w:pPr>
            <w:pStyle w:val="4"/>
            <w:numPr>
              <w:ilvl w:val="0"/>
              <w:numId w:val="24"/>
            </w:numPr>
          </w:pPr>
          <w:r>
            <w:rPr>
              <w:rFonts w:hint="eastAsia"/>
            </w:rPr>
            <w:t>重点排污单位之外的公司的环保情况说明</w:t>
          </w:r>
        </w:p>
        <w:sdt>
          <w:sdtPr>
            <w:alias w:val="是否适用：重点排污单位之外的公司的环保情况[双击切换]"/>
            <w:tag w:val="_GBC_5429e6d325df48abbf95eb4f87e71363"/>
            <w:id w:val="2515381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b w:val="0"/>
          <w:bCs w:val="0"/>
          <w:szCs w:val="24"/>
        </w:rPr>
        <w:alias w:val="模块:重点排污单位之外的公司未披露环境信息的原因说明"/>
        <w:tag w:val="_SEC_dbf114d9dfed451c943c0db36f9761bc"/>
        <w:id w:val="25153820"/>
        <w:lock w:val="sdtLocked"/>
        <w:placeholder>
          <w:docPart w:val="GBC22222222222222222222222222222"/>
        </w:placeholder>
      </w:sdtPr>
      <w:sdtEndPr>
        <w:rPr>
          <w:rFonts w:hint="default"/>
          <w:b w:val="0"/>
          <w:bCs w:val="0"/>
          <w:szCs w:val="21"/>
        </w:rPr>
      </w:sdtEndPr>
      <w:sdtContent>
        <w:p>
          <w:pPr>
            <w:pStyle w:val="4"/>
            <w:numPr>
              <w:ilvl w:val="0"/>
              <w:numId w:val="24"/>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2515381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b w:val="0"/>
          <w:bCs w:val="0"/>
          <w:szCs w:val="24"/>
        </w:rPr>
        <w:alias w:val="模块:报告期内披露环境信息内容的后续进展或变化情况的说明"/>
        <w:tag w:val="_SEC_3c63bb32177f4f368bb662e3b696830a"/>
        <w:id w:val="25153822"/>
        <w:lock w:val="sdtLocked"/>
        <w:placeholder>
          <w:docPart w:val="GBC22222222222222222222222222222"/>
        </w:placeholder>
      </w:sdtPr>
      <w:sdtEndPr>
        <w:rPr>
          <w:rFonts w:hint="eastAsia"/>
          <w:b w:val="0"/>
          <w:bCs w:val="0"/>
          <w:szCs w:val="21"/>
        </w:rPr>
      </w:sdtEndPr>
      <w:sdtContent>
        <w:p>
          <w:pPr>
            <w:pStyle w:val="4"/>
            <w:numPr>
              <w:ilvl w:val="0"/>
              <w:numId w:val="24"/>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2515382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8"/>
        <w:numPr>
          <w:ilvl w:val="0"/>
          <w:numId w:val="14"/>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25153800"/>
        <w:lock w:val="sdtLocked"/>
      </w:sdtPr>
      <w:sdtEndPr>
        <w:rPr>
          <w:rFonts w:hint="eastAsia" w:cs="宋体" w:asciiTheme="minorEastAsia" w:hAnsiTheme="minorEastAsia" w:eastAsiaTheme="minorEastAsia"/>
          <w:b w:val="0"/>
          <w:bCs w:val="0"/>
          <w:kern w:val="0"/>
          <w:szCs w:val="21"/>
        </w:rPr>
      </w:sdtEndPr>
      <w:sdtContent>
        <w:p>
          <w:pPr>
            <w:pStyle w:val="79"/>
            <w:numPr>
              <w:ilvl w:val="0"/>
              <w:numId w:val="26"/>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25153799"/>
            <w:lock w:val="sdtContentLocked"/>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asciiTheme="minorEastAsia" w:hAnsiTheme="minorEastAsia" w:eastAsia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25153802"/>
        <w:lock w:val="sdtLocked"/>
      </w:sdtPr>
      <w:sdtEndPr>
        <w:rPr>
          <w:rFonts w:hint="eastAsia" w:cs="宋体" w:asciiTheme="minorEastAsia" w:hAnsiTheme="minorEastAsia" w:eastAsiaTheme="minorEastAsia"/>
          <w:b w:val="0"/>
          <w:bCs w:val="0"/>
          <w:kern w:val="0"/>
          <w:szCs w:val="24"/>
        </w:rPr>
      </w:sdtEndPr>
      <w:sdtContent>
        <w:p>
          <w:pPr>
            <w:pStyle w:val="79"/>
            <w:numPr>
              <w:ilvl w:val="0"/>
              <w:numId w:val="26"/>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5153801"/>
            <w:lock w:val="sdtContentLocked"/>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asciiTheme="minorEastAsia" w:hAnsiTheme="minorEastAsia" w:eastAsiaTheme="minorEastAsia"/>
            </w:rPr>
          </w:pPr>
        </w:p>
      </w:sdtContent>
    </w:sdt>
    <w:sdt>
      <w:sdtPr>
        <w:rPr>
          <w:rFonts w:ascii="宋体" w:hAnsi="宋体" w:cs="宋体"/>
          <w:b w:val="0"/>
          <w:bCs w:val="0"/>
          <w:kern w:val="0"/>
          <w:szCs w:val="22"/>
        </w:rPr>
        <w:alias w:val="模块:其他重大事项"/>
        <w:tag w:val="_SEC_138307d780ec4289808d3b63009b0a05"/>
        <w:id w:val="25153805"/>
        <w:lock w:val="sdtLocked"/>
      </w:sdtPr>
      <w:sdtEndPr>
        <w:rPr>
          <w:rFonts w:ascii="宋体" w:hAnsi="宋体" w:cs="宋体"/>
          <w:b w:val="0"/>
          <w:bCs w:val="0"/>
          <w:kern w:val="0"/>
          <w:szCs w:val="24"/>
        </w:rPr>
      </w:sdtEndPr>
      <w:sdtContent>
        <w:p>
          <w:pPr>
            <w:pStyle w:val="79"/>
            <w:numPr>
              <w:ilvl w:val="0"/>
              <w:numId w:val="26"/>
            </w:numPr>
          </w:pPr>
          <w:r>
            <w:t>其他</w:t>
          </w:r>
        </w:p>
        <w:sdt>
          <w:sdtPr>
            <w:alias w:val="是否适用：其他重大事项的说明[双击切换]"/>
            <w:tag w:val="_GBC_305fce3f50ec40648f3016211970114b"/>
            <w:id w:val="25153803"/>
            <w:lock w:val="sdtContentLocked"/>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2"/>
        <w:numPr>
          <w:ilvl w:val="0"/>
          <w:numId w:val="2"/>
        </w:numPr>
      </w:pPr>
      <w:bookmarkStart w:id="24" w:name="_Toc484510569"/>
      <w:bookmarkStart w:id="25" w:name="_Toc392233016"/>
      <w:r>
        <w:rPr>
          <w:rFonts w:hint="eastAsia"/>
        </w:rPr>
        <w:t>普通股股份变动及股东情况</w:t>
      </w:r>
      <w:bookmarkEnd w:id="23"/>
      <w:bookmarkEnd w:id="24"/>
      <w:bookmarkEnd w:id="25"/>
    </w:p>
    <w:p>
      <w:pPr>
        <w:pStyle w:val="3"/>
        <w:numPr>
          <w:ilvl w:val="0"/>
          <w:numId w:val="27"/>
        </w:numPr>
        <w:spacing w:line="360" w:lineRule="auto"/>
        <w:ind w:left="448" w:hanging="448"/>
      </w:pPr>
      <w:bookmarkStart w:id="26" w:name="_Toc342565989"/>
      <w:bookmarkStart w:id="27" w:name="_Toc342059476"/>
      <w:r>
        <w:t>股</w:t>
      </w:r>
      <w:r>
        <w:rPr>
          <w:rFonts w:hint="eastAsia"/>
        </w:rPr>
        <w:t>本变动情况</w:t>
      </w:r>
      <w:bookmarkEnd w:id="26"/>
      <w:bookmarkEnd w:id="27"/>
    </w:p>
    <w:p>
      <w:pPr>
        <w:pStyle w:val="4"/>
        <w:numPr>
          <w:ilvl w:val="1"/>
          <w:numId w:val="28"/>
        </w:numPr>
      </w:pPr>
      <w:bookmarkStart w:id="28" w:name="_Toc342059477"/>
      <w:bookmarkStart w:id="29" w:name="_Toc342565990"/>
      <w:r>
        <w:rPr>
          <w:rFonts w:hint="eastAsia"/>
        </w:rPr>
        <w:t>股份变动情况表</w:t>
      </w:r>
      <w:bookmarkEnd w:id="28"/>
      <w:bookmarkEnd w:id="29"/>
    </w:p>
    <w:p>
      <w:pPr>
        <w:pStyle w:val="5"/>
        <w:numPr>
          <w:ilvl w:val="2"/>
          <w:numId w:val="29"/>
        </w:numPr>
      </w:pPr>
      <w:r>
        <w:rPr>
          <w:rFonts w:hint="eastAsia"/>
        </w:rPr>
        <w:t>股份变动情况表</w:t>
      </w:r>
    </w:p>
    <w:sdt>
      <w:sdtPr>
        <w:rPr>
          <w:rFonts w:hint="eastAsia"/>
        </w:rPr>
        <w:alias w:val="选项模块:报告期内，公司股份总数及股本结构未发生变化。"/>
        <w:tag w:val="_GBC_dd8bc2a0b3ed4147a1e657cdc8573344"/>
        <w:id w:val="25153823"/>
        <w:lock w:val="sdtLocked"/>
        <w:placeholder>
          <w:docPart w:val="GBC22222222222222222222222222222"/>
        </w:placeholder>
      </w:sdtPr>
      <w:sdtEndPr>
        <w:rPr>
          <w:rFonts w:hint="eastAsia"/>
        </w:rPr>
      </w:sdtEndPr>
      <w:sdtContent>
        <w:p>
          <w:pPr>
            <w:pStyle w:val="76"/>
          </w:pPr>
          <w:r>
            <w:rPr>
              <w:rFonts w:hint="eastAsia"/>
            </w:rPr>
            <w:t>报告期内，公司股份总数及股本结构未发生变化。</w:t>
          </w:r>
        </w:p>
      </w:sdtContent>
    </w:sdt>
    <w:p>
      <w:pPr>
        <w:pStyle w:val="76"/>
      </w:pPr>
    </w:p>
    <w:sdt>
      <w:sdtPr>
        <w:rPr>
          <w:rFonts w:ascii="Calibri" w:hAnsi="Calibri"/>
          <w:b w:val="0"/>
          <w:bCs w:val="0"/>
          <w:szCs w:val="22"/>
        </w:rPr>
        <w:alias w:val="模块:股份变动情况说明"/>
        <w:tag w:val="_GBC_11d26f58e47e4a1f997d73362074f464"/>
        <w:id w:val="25153825"/>
        <w:lock w:val="sdtLocked"/>
        <w:placeholder>
          <w:docPart w:val="GBC22222222222222222222222222222"/>
        </w:placeholder>
      </w:sdtPr>
      <w:sdtEndPr>
        <w:rPr>
          <w:rFonts w:hint="eastAsia" w:ascii="宋体" w:hAnsi="宋体"/>
          <w:b w:val="0"/>
          <w:bCs w:val="0"/>
          <w:szCs w:val="21"/>
        </w:rPr>
      </w:sdtEndPr>
      <w:sdtContent>
        <w:p>
          <w:pPr>
            <w:pStyle w:val="5"/>
            <w:numPr>
              <w:ilvl w:val="2"/>
              <w:numId w:val="29"/>
            </w:numPr>
          </w:pPr>
          <w:bookmarkStart w:id="30" w:name="_Toc342565996"/>
          <w:bookmarkStart w:id="31" w:name="_Toc342059483"/>
          <w:r>
            <w:t>股份变动情况说明</w:t>
          </w:r>
        </w:p>
        <w:sdt>
          <w:sdtPr>
            <w:alias w:val="是否适用：普通股股份变动情况说明[双击切换]"/>
            <w:tag w:val="_GBC_28994e6dc9c649e498c0ab9c340777bf"/>
            <w:id w:val="2515382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b/>
          <w:bCs/>
          <w:szCs w:val="24"/>
        </w:rPr>
        <w:alias w:val="模块:报告期后到半年报披露日期间发生股份变动对每股收益等指标影响"/>
        <w:tag w:val="_GBC_2c9eb79778814e39ab254196ba75dab3"/>
        <w:id w:val="25153827"/>
        <w:lock w:val="sdtLocked"/>
        <w:placeholder>
          <w:docPart w:val="GBC22222222222222222222222222222"/>
        </w:placeholder>
      </w:sdtPr>
      <w:sdtEndPr>
        <w:rPr>
          <w:rFonts w:hint="eastAsia"/>
          <w:b w:val="0"/>
          <w:bCs w:val="0"/>
          <w:szCs w:val="21"/>
        </w:rPr>
      </w:sdtEndPr>
      <w:sdtContent>
        <w:p>
          <w:pPr>
            <w:pStyle w:val="49"/>
            <w:numPr>
              <w:ilvl w:val="2"/>
              <w:numId w:val="29"/>
            </w:numPr>
            <w:ind w:firstLineChars="0"/>
            <w:rPr>
              <w:rFonts w:ascii="Cambria" w:hAnsi="Cambria"/>
              <w:b/>
              <w:bCs/>
              <w:szCs w:val="28"/>
            </w:rPr>
          </w:pPr>
          <w:r>
            <w:rPr>
              <w:rFonts w:hint="eastAsia" w:ascii="Cambria" w:hAnsi="Cambr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5153826"/>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ascii="Calibri" w:hAnsi="Calibri"/>
          <w:b w:val="0"/>
          <w:bCs w:val="0"/>
          <w:szCs w:val="22"/>
        </w:rPr>
        <w:alias w:val="模块:公司认为必要或证券监管机构要求披露的其他内容"/>
        <w:tag w:val="_GBC_ea8cea8d08c04df4b51a4a58c86eadd2"/>
        <w:id w:val="25153829"/>
        <w:lock w:val="sdtLocked"/>
        <w:placeholder>
          <w:docPart w:val="GBC22222222222222222222222222222"/>
        </w:placeholder>
      </w:sdtPr>
      <w:sdtEndPr>
        <w:rPr>
          <w:rFonts w:hint="eastAsia" w:ascii="宋体" w:hAnsi="宋体"/>
          <w:b w:val="0"/>
          <w:bCs w:val="0"/>
          <w:szCs w:val="21"/>
        </w:rPr>
      </w:sdtEndPr>
      <w:sdtContent>
        <w:p>
          <w:pPr>
            <w:pStyle w:val="5"/>
            <w:numPr>
              <w:ilvl w:val="2"/>
              <w:numId w:val="29"/>
            </w:numPr>
          </w:pPr>
          <w:r>
            <w:t>公司认为必要或证券监管机构要求披露的其他内容</w:t>
          </w:r>
        </w:p>
        <w:sdt>
          <w:sdtPr>
            <w:alias w:val="是否适用：公司认为必要或证券监管机构要求披露的其他内容[双击切换]"/>
            <w:tag w:val="_GBC_7554eed1e25047d282437f24056d532b"/>
            <w:id w:val="2515382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4"/>
        <w:numPr>
          <w:ilvl w:val="1"/>
          <w:numId w:val="28"/>
        </w:numPr>
      </w:pPr>
      <w:r>
        <w:t>限售股份变动情况</w:t>
      </w:r>
    </w:p>
    <w:sdt>
      <w:sdtPr>
        <w:alias w:val="是否适用：限售股份变动情况表[双击切换]"/>
        <w:tag w:val="_GBC_6f5978a50e224b6aa94189436cdee711"/>
        <w:id w:val="25153830"/>
        <w:lock w:val="sdtContentLocked"/>
        <w:placeholder>
          <w:docPart w:val="GBC22222222222222222222222222222"/>
        </w:placeholder>
      </w:sdtPr>
      <w:sdtContent>
        <w:p>
          <w:pPr>
            <w:rPr>
              <w:rFonts w:asciiTheme="minorEastAsia" w:hAnsiTheme="minorEastAsia" w:eastAsia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3"/>
        <w:numPr>
          <w:ilvl w:val="0"/>
          <w:numId w:val="27"/>
        </w:numPr>
        <w:spacing w:line="360" w:lineRule="auto"/>
        <w:ind w:left="448" w:hanging="448"/>
      </w:pPr>
      <w:r>
        <w:t>股东情况</w:t>
      </w:r>
      <w:bookmarkEnd w:id="30"/>
      <w:bookmarkEnd w:id="31"/>
    </w:p>
    <w:sdt>
      <w:sdtPr>
        <w:rPr>
          <w:b w:val="0"/>
          <w:bCs w:val="0"/>
          <w:szCs w:val="22"/>
        </w:rPr>
        <w:alias w:val="模块:股东总数"/>
        <w:tag w:val="_GBC_ba0ac3b5d31347c0a620e3662112fa62"/>
        <w:id w:val="25153834"/>
        <w:lock w:val="sdtLocked"/>
        <w:placeholder>
          <w:docPart w:val="GBC22222222222222222222222222222"/>
        </w:placeholder>
      </w:sdtPr>
      <w:sdtEndPr>
        <w:rPr>
          <w:b w:val="0"/>
          <w:bCs w:val="0"/>
          <w:szCs w:val="21"/>
        </w:rPr>
      </w:sdtEndPr>
      <w:sdtContent>
        <w:p>
          <w:pPr>
            <w:pStyle w:val="4"/>
            <w:numPr>
              <w:ilvl w:val="1"/>
              <w:numId w:val="30"/>
            </w:numPr>
          </w:pPr>
          <w:r>
            <w:t>股东总数:</w:t>
          </w:r>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206d6884981495295105158630a6172"/>
                <w:id w:val="25153831"/>
                <w:lock w:val="sdtLocked"/>
              </w:sdtPr>
              <w:sdtContent>
                <w:tc>
                  <w:tcPr>
                    <w:tcW w:w="5070" w:type="dxa"/>
                  </w:tcPr>
                  <w:p>
                    <w:pPr>
                      <w:pStyle w:val="76"/>
                      <w:widowControl w:val="0"/>
                      <w:jc w:val="both"/>
                    </w:pPr>
                    <w:r>
                      <w:t>截止报告期末</w:t>
                    </w:r>
                    <w:r>
                      <w:rPr>
                        <w:rFonts w:hint="eastAsia"/>
                      </w:rPr>
                      <w:t>普通股</w:t>
                    </w:r>
                    <w:r>
                      <w:t>股东总数(户)</w:t>
                    </w:r>
                  </w:p>
                </w:tc>
              </w:sdtContent>
            </w:sdt>
            <w:sdt>
              <w:sdtPr>
                <w:alias w:val="报告期末股东总数"/>
                <w:tag w:val="_GBC_9fd402ec66014f4e9716c7fdb0286bd2"/>
                <w:id w:val="25153832"/>
                <w:lock w:val="sdtLocked"/>
              </w:sdtPr>
              <w:sdtContent>
                <w:tc>
                  <w:tcPr>
                    <w:tcW w:w="3978" w:type="dxa"/>
                  </w:tcPr>
                  <w:p>
                    <w:pPr>
                      <w:widowControl w:val="0"/>
                      <w:jc w:val="right"/>
                    </w:pPr>
                    <w:r>
                      <w:t>59,279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0c51c13ddad420ab635010b5df15a40"/>
                <w:id w:val="25153833"/>
                <w:lock w:val="sdtLocked"/>
              </w:sdtPr>
              <w:sdtContent>
                <w:tc>
                  <w:tcPr>
                    <w:tcW w:w="5070" w:type="dxa"/>
                  </w:tcPr>
                  <w:p>
                    <w:pPr>
                      <w:pStyle w:val="76"/>
                      <w:widowControl w:val="0"/>
                      <w:jc w:val="both"/>
                    </w:pPr>
                    <w:r>
                      <w:rPr>
                        <w:rFonts w:hint="eastAsia"/>
                      </w:rPr>
                      <w:t>截止报告期末表决权恢复的优先股股东总数（户）</w:t>
                    </w:r>
                  </w:p>
                </w:tc>
              </w:sdtContent>
            </w:sdt>
            <w:tc>
              <w:tcPr>
                <w:tcW w:w="3978" w:type="dxa"/>
              </w:tcPr>
              <w:p>
                <w:pPr>
                  <w:widowControl w:val="0"/>
                  <w:jc w:val="right"/>
                </w:pPr>
                <w:r>
                  <w:rPr>
                    <w:rFonts w:hint="eastAsia"/>
                  </w:rPr>
                  <w:t>不适用</w:t>
                </w:r>
              </w:p>
            </w:tc>
          </w:tr>
        </w:tbl>
      </w:sdtContent>
    </w:sdt>
    <w:p>
      <w:pPr>
        <w:pStyle w:val="76"/>
      </w:pPr>
    </w:p>
    <w:p>
      <w:pPr>
        <w:pStyle w:val="4"/>
        <w:numPr>
          <w:ilvl w:val="1"/>
          <w:numId w:val="30"/>
        </w:numPr>
      </w:pPr>
      <w:bookmarkStart w:id="32" w:name="_Toc342059485"/>
      <w:bookmarkStart w:id="33" w:name="_Toc342565998"/>
      <w:r>
        <w:rPr>
          <w:rFonts w:hint="eastAsia"/>
          <w:szCs w:val="21"/>
        </w:rPr>
        <w:t>截止报告期末前十名股东、前十名流通股东（或无限售条件股东）持股情况表</w:t>
      </w:r>
    </w:p>
    <w:sdt>
      <w:sdtPr>
        <w:rPr>
          <w:rFonts w:hint="eastAsia"/>
          <w:b/>
          <w:bCs/>
          <w:szCs w:val="22"/>
        </w:rPr>
        <w:alias w:val="选项模块:前十名股东持股情况(已完成或不涉及股改)"/>
        <w:tag w:val="_GBC_558dfa41ef4b4fa8adb57b3c9c0a2887"/>
        <w:id w:val="25153905"/>
        <w:lock w:val="sdtLocked"/>
        <w:placeholder>
          <w:docPart w:val="GBC22222222222222222222222222222"/>
        </w:placeholder>
      </w:sdtPr>
      <w:sdtEndPr>
        <w:rPr>
          <w:rFonts w:hint="default" w:cs="Arial"/>
          <w:b w:val="0"/>
          <w:bCs w:val="0"/>
          <w:szCs w:val="21"/>
        </w:rPr>
      </w:sdtEndPr>
      <w:sdtContent>
        <w:p>
          <w:pPr>
            <w:jc w:val="right"/>
          </w:pPr>
          <w:bookmarkEnd w:id="32"/>
          <w:bookmarkEnd w:id="33"/>
          <w:r>
            <w:rPr>
              <w:bCs/>
            </w:rPr>
            <w:t>单位:</w:t>
          </w:r>
          <w:sdt>
            <w:sdtPr>
              <w:rPr>
                <w:bCs/>
              </w:rPr>
              <w:alias w:val="单位：前十名股东持股情况"/>
              <w:tag w:val="_GBC_9d020b31dcb449c980ed0856cf6dae82"/>
              <w:id w:val="2515383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rPr>
                <w:bCs/>
              </w:rPr>
            </w:sdtEndPr>
            <w:sdtContent>
              <w:r>
                <w:rPr>
                  <w:rFonts w:hint="eastAsia"/>
                  <w:bCs/>
                </w:rPr>
                <w:t>股</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302"/>
            <w:gridCol w:w="1606"/>
            <w:gridCol w:w="792"/>
            <w:gridCol w:w="826"/>
            <w:gridCol w:w="669"/>
            <w:gridCol w:w="236"/>
            <w:gridCol w:w="323"/>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3038da138bad4905b589aeba821a8575"/>
                <w:id w:val="25153836"/>
                <w:lock w:val="sdtLocked"/>
              </w:sdtPr>
              <w:sdtContent>
                <w:tc>
                  <w:tcPr>
                    <w:tcW w:w="9049" w:type="dxa"/>
                    <w:gridSpan w:val="9"/>
                    <w:shd w:val="clear" w:color="auto" w:fill="auto"/>
                  </w:tcPr>
                  <w:p>
                    <w:pPr>
                      <w:pStyle w:val="14"/>
                      <w:jc w:val="center"/>
                      <w:rPr>
                        <w:rFonts w:ascii="宋体" w:hAnsi="宋体"/>
                      </w:rPr>
                    </w:pPr>
                    <w:r>
                      <w:rPr>
                        <w:rFonts w:ascii="宋体" w:hAnsi="宋体"/>
                      </w:rPr>
                      <w:t>前十名股东持股情况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80eda5ca76254dc1b950ed7de7dc5885"/>
                <w:id w:val="25153837"/>
                <w:lock w:val="sdtLocked"/>
              </w:sdtPr>
              <w:sdtContent>
                <w:tc>
                  <w:tcPr>
                    <w:tcW w:w="2011" w:type="dxa"/>
                    <w:vMerge w:val="restart"/>
                    <w:shd w:val="clear" w:color="auto" w:fill="auto"/>
                    <w:vAlign w:val="center"/>
                  </w:tcPr>
                  <w:p>
                    <w:pPr>
                      <w:jc w:val="center"/>
                    </w:pPr>
                    <w:r>
                      <w:t>股东名称</w:t>
                    </w:r>
                  </w:p>
                  <w:p>
                    <w:pPr>
                      <w:jc w:val="center"/>
                    </w:pPr>
                    <w:r>
                      <w:rPr>
                        <w:rFonts w:hint="eastAsia"/>
                      </w:rPr>
                      <w:t>（全称）</w:t>
                    </w:r>
                  </w:p>
                </w:tc>
              </w:sdtContent>
            </w:sdt>
            <w:sdt>
              <w:sdtPr>
                <w:tag w:val="_PLD_ca2ffd3fc186426e98aac562ecc1ba54"/>
                <w:id w:val="25153838"/>
                <w:lock w:val="sdtLocked"/>
              </w:sdtPr>
              <w:sdtContent>
                <w:tc>
                  <w:tcPr>
                    <w:tcW w:w="1302" w:type="dxa"/>
                    <w:vMerge w:val="restart"/>
                    <w:shd w:val="clear" w:color="auto" w:fill="auto"/>
                    <w:vAlign w:val="center"/>
                  </w:tcPr>
                  <w:p>
                    <w:pPr>
                      <w:jc w:val="center"/>
                    </w:pPr>
                    <w:r>
                      <w:t>报告期内增减</w:t>
                    </w:r>
                  </w:p>
                </w:tc>
              </w:sdtContent>
            </w:sdt>
            <w:sdt>
              <w:sdtPr>
                <w:tag w:val="_PLD_084006d53bec42bea9418fc4576a1210"/>
                <w:id w:val="25153839"/>
                <w:lock w:val="sdtLocked"/>
              </w:sdtPr>
              <w:sdtContent>
                <w:tc>
                  <w:tcPr>
                    <w:tcW w:w="1606" w:type="dxa"/>
                    <w:vMerge w:val="restart"/>
                    <w:shd w:val="clear" w:color="auto" w:fill="auto"/>
                    <w:vAlign w:val="center"/>
                  </w:tcPr>
                  <w:p>
                    <w:pPr>
                      <w:jc w:val="center"/>
                    </w:pPr>
                    <w:r>
                      <w:t>期末持股数量</w:t>
                    </w:r>
                  </w:p>
                </w:tc>
              </w:sdtContent>
            </w:sdt>
            <w:sdt>
              <w:sdtPr>
                <w:tag w:val="_PLD_f27008de77ee4b27b35e2ae22d35699c"/>
                <w:id w:val="25153840"/>
                <w:lock w:val="sdtLocked"/>
              </w:sdtPr>
              <w:sdtContent>
                <w:tc>
                  <w:tcPr>
                    <w:tcW w:w="792" w:type="dxa"/>
                    <w:vMerge w:val="restart"/>
                    <w:shd w:val="clear" w:color="auto" w:fill="auto"/>
                    <w:vAlign w:val="center"/>
                  </w:tcPr>
                  <w:p>
                    <w:pPr>
                      <w:jc w:val="center"/>
                    </w:pPr>
                    <w:r>
                      <w:t>比例(%)</w:t>
                    </w:r>
                  </w:p>
                </w:tc>
              </w:sdtContent>
            </w:sdt>
            <w:sdt>
              <w:sdtPr>
                <w:tag w:val="_PLD_34fcc5fa9a414555bef1b48aa74c8135"/>
                <w:id w:val="25153841"/>
                <w:lock w:val="sdtLocked"/>
              </w:sdtPr>
              <w:sdtContent>
                <w:tc>
                  <w:tcPr>
                    <w:tcW w:w="826" w:type="dxa"/>
                    <w:vMerge w:val="restart"/>
                    <w:shd w:val="clear" w:color="auto" w:fill="auto"/>
                    <w:vAlign w:val="center"/>
                  </w:tcPr>
                  <w:p>
                    <w:pPr>
                      <w:pStyle w:val="11"/>
                      <w:rPr>
                        <w:rFonts w:ascii="宋体" w:hAnsi="宋体"/>
                        <w:bCs/>
                        <w:color w:val="00B050"/>
                      </w:rPr>
                    </w:pPr>
                    <w:r>
                      <w:rPr>
                        <w:rFonts w:ascii="宋体" w:hAnsi="宋体"/>
                        <w:bCs/>
                      </w:rPr>
                      <w:t>持有有限售条件股份数量</w:t>
                    </w:r>
                  </w:p>
                </w:tc>
              </w:sdtContent>
            </w:sdt>
            <w:sdt>
              <w:sdtPr>
                <w:tag w:val="_PLD_94fbee67e09740e59eb90272af77b58a"/>
                <w:id w:val="25153842"/>
                <w:lock w:val="sdtLocked"/>
              </w:sdtPr>
              <w:sdtContent>
                <w:tc>
                  <w:tcPr>
                    <w:tcW w:w="1228" w:type="dxa"/>
                    <w:gridSpan w:val="3"/>
                    <w:shd w:val="clear" w:color="auto" w:fill="auto"/>
                    <w:vAlign w:val="center"/>
                  </w:tcPr>
                  <w:p>
                    <w:pPr>
                      <w:jc w:val="center"/>
                    </w:pPr>
                    <w:r>
                      <w:t>质押或冻结情况</w:t>
                    </w:r>
                  </w:p>
                </w:tc>
              </w:sdtContent>
            </w:sdt>
            <w:sdt>
              <w:sdtPr>
                <w:tag w:val="_PLD_2228ecf4db6a4362bff11fe1e2d3c903"/>
                <w:id w:val="25153843"/>
                <w:lock w:val="sdtLocked"/>
              </w:sdtPr>
              <w:sdtContent>
                <w:tc>
                  <w:tcPr>
                    <w:tcW w:w="1284" w:type="dxa"/>
                    <w:vMerge w:val="restart"/>
                    <w:shd w:val="clear" w:color="auto" w:fill="auto"/>
                    <w:vAlign w:val="center"/>
                  </w:tcPr>
                  <w:p>
                    <w:pPr>
                      <w:jc w:val="center"/>
                    </w:pPr>
                    <w:r>
                      <w:t>股东性质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vMerge w:val="continue"/>
                <w:tcBorders>
                  <w:bottom w:val="single" w:color="auto" w:sz="4" w:space="0"/>
                </w:tcBorders>
                <w:shd w:val="clear" w:color="auto" w:fill="auto"/>
              </w:tcPr>
              <w:p>
                <w:pPr>
                  <w:jc w:val="center"/>
                </w:pPr>
              </w:p>
            </w:tc>
            <w:tc>
              <w:tcPr>
                <w:tcW w:w="1302" w:type="dxa"/>
                <w:vMerge w:val="continue"/>
                <w:tcBorders>
                  <w:bottom w:val="single" w:color="auto" w:sz="4" w:space="0"/>
                </w:tcBorders>
                <w:shd w:val="clear" w:color="auto" w:fill="auto"/>
              </w:tcPr>
              <w:p>
                <w:pPr>
                  <w:jc w:val="center"/>
                </w:pPr>
              </w:p>
            </w:tc>
            <w:tc>
              <w:tcPr>
                <w:tcW w:w="1606" w:type="dxa"/>
                <w:vMerge w:val="continue"/>
                <w:tcBorders>
                  <w:bottom w:val="single" w:color="auto" w:sz="4" w:space="0"/>
                </w:tcBorders>
                <w:shd w:val="clear" w:color="auto" w:fill="auto"/>
              </w:tcPr>
              <w:p>
                <w:pPr>
                  <w:jc w:val="center"/>
                </w:pPr>
              </w:p>
            </w:tc>
            <w:tc>
              <w:tcPr>
                <w:tcW w:w="792" w:type="dxa"/>
                <w:vMerge w:val="continue"/>
                <w:tcBorders>
                  <w:bottom w:val="single" w:color="auto" w:sz="4" w:space="0"/>
                </w:tcBorders>
                <w:shd w:val="clear" w:color="auto" w:fill="auto"/>
              </w:tcPr>
              <w:p>
                <w:pPr>
                  <w:jc w:val="center"/>
                </w:pPr>
              </w:p>
            </w:tc>
            <w:tc>
              <w:tcPr>
                <w:tcW w:w="826" w:type="dxa"/>
                <w:vMerge w:val="continue"/>
                <w:tcBorders>
                  <w:bottom w:val="single" w:color="auto" w:sz="4" w:space="0"/>
                </w:tcBorders>
                <w:shd w:val="clear" w:color="auto" w:fill="auto"/>
              </w:tcPr>
              <w:p>
                <w:pPr>
                  <w:jc w:val="center"/>
                </w:pPr>
              </w:p>
            </w:tc>
            <w:sdt>
              <w:sdtPr>
                <w:tag w:val="_PLD_45bf36a531de47beb596ebacadac576a"/>
                <w:id w:val="25153844"/>
                <w:lock w:val="sdtLocked"/>
              </w:sdtPr>
              <w:sdtContent>
                <w:tc>
                  <w:tcPr>
                    <w:tcW w:w="669" w:type="dxa"/>
                    <w:tcBorders>
                      <w:bottom w:val="single" w:color="auto" w:sz="4" w:space="0"/>
                    </w:tcBorders>
                    <w:shd w:val="clear" w:color="auto" w:fill="auto"/>
                    <w:vAlign w:val="center"/>
                  </w:tcPr>
                  <w:p>
                    <w:pPr>
                      <w:jc w:val="center"/>
                    </w:pPr>
                    <w:r>
                      <w:t>股份状态</w:t>
                    </w:r>
                  </w:p>
                </w:tc>
              </w:sdtContent>
            </w:sdt>
            <w:sdt>
              <w:sdtPr>
                <w:tag w:val="_PLD_bea7397233604f859f8d14f2ae0a0417"/>
                <w:id w:val="25153845"/>
                <w:lock w:val="sdtLocked"/>
              </w:sdtPr>
              <w:sdtContent>
                <w:tc>
                  <w:tcPr>
                    <w:tcW w:w="559" w:type="dxa"/>
                    <w:gridSpan w:val="2"/>
                    <w:tcBorders>
                      <w:bottom w:val="single" w:color="auto" w:sz="4" w:space="0"/>
                    </w:tcBorders>
                    <w:shd w:val="clear" w:color="auto" w:fill="auto"/>
                  </w:tcPr>
                  <w:p>
                    <w:pPr>
                      <w:jc w:val="center"/>
                    </w:pPr>
                    <w:r>
                      <w:t>数量</w:t>
                    </w:r>
                  </w:p>
                </w:tc>
              </w:sdtContent>
            </w:sdt>
            <w:tc>
              <w:tcPr>
                <w:tcW w:w="1284" w:type="dxa"/>
                <w:vMerge w:val="continue"/>
                <w:shd w:val="clear" w:color="auto" w:fill="auto"/>
              </w:tcPr>
              <w:p>
                <w:pPr>
                  <w:jc w:val="center"/>
                </w:pPr>
              </w:p>
            </w:tc>
          </w:tr>
          <w:sdt>
            <w:sdtPr>
              <w:rPr>
                <w:szCs w:val="21"/>
              </w:rPr>
              <w:alias w:val="前十名股东持股情况"/>
              <w:tag w:val="_GBC_5fc8eaeeffc7456eb1a09687db3d4206"/>
              <w:id w:val="25153848"/>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广西柳州钢铁集团有限公司</w:t>
                    </w:r>
                  </w:p>
                </w:tc>
                <w:tc>
                  <w:tcPr>
                    <w:tcW w:w="1302" w:type="dxa"/>
                    <w:shd w:val="clear" w:color="auto" w:fill="auto"/>
                  </w:tcPr>
                  <w:p>
                    <w:pPr>
                      <w:jc w:val="right"/>
                    </w:pPr>
                    <w:r>
                      <w:rPr>
                        <w:rFonts w:hint="eastAsia"/>
                      </w:rPr>
                      <w:t>0</w:t>
                    </w:r>
                  </w:p>
                </w:tc>
                <w:tc>
                  <w:tcPr>
                    <w:tcW w:w="1606" w:type="dxa"/>
                    <w:shd w:val="clear" w:color="auto" w:fill="auto"/>
                  </w:tcPr>
                  <w:p>
                    <w:pPr>
                      <w:jc w:val="right"/>
                    </w:pPr>
                    <w:r>
                      <w:t>2,114,433,135</w:t>
                    </w:r>
                  </w:p>
                </w:tc>
                <w:tc>
                  <w:tcPr>
                    <w:tcW w:w="792" w:type="dxa"/>
                    <w:shd w:val="clear" w:color="auto" w:fill="auto"/>
                  </w:tcPr>
                  <w:p>
                    <w:pPr>
                      <w:jc w:val="right"/>
                    </w:pPr>
                    <w:r>
                      <w:t>82.51</w:t>
                    </w:r>
                  </w:p>
                </w:tc>
                <w:tc>
                  <w:tcPr>
                    <w:tcW w:w="826" w:type="dxa"/>
                    <w:shd w:val="clear" w:color="auto" w:fill="auto"/>
                  </w:tcPr>
                  <w:p>
                    <w:pPr>
                      <w:jc w:val="right"/>
                    </w:pPr>
                    <w:r>
                      <w:t>0</w:t>
                    </w:r>
                  </w:p>
                </w:tc>
                <w:sdt>
                  <w:sdtPr>
                    <w:alias w:val="前十名股东持有股份状态"/>
                    <w:tag w:val="_GBC_d5194108b2a8481e94140819dbdc5afe"/>
                    <w:id w:val="2515384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国有法人</w:t>
                        </w:r>
                      </w:p>
                    </w:tc>
                  </w:sdtContent>
                </w:sdt>
              </w:tr>
            </w:sdtContent>
          </w:sdt>
          <w:sdt>
            <w:sdtPr>
              <w:rPr>
                <w:szCs w:val="21"/>
              </w:rPr>
              <w:alias w:val="前十名股东持股情况"/>
              <w:tag w:val="_GBC_5fc8eaeeffc7456eb1a09687db3d4206"/>
              <w:id w:val="25153851"/>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招商银行股份有限公司－光大保德信优势配置混合型证券投资基金</w:t>
                    </w:r>
                  </w:p>
                </w:tc>
                <w:tc>
                  <w:tcPr>
                    <w:tcW w:w="1302" w:type="dxa"/>
                    <w:shd w:val="clear" w:color="auto" w:fill="auto"/>
                  </w:tcPr>
                  <w:p>
                    <w:pPr>
                      <w:jc w:val="right"/>
                    </w:pPr>
                    <w:r>
                      <w:t>17,133,055</w:t>
                    </w:r>
                  </w:p>
                </w:tc>
                <w:tc>
                  <w:tcPr>
                    <w:tcW w:w="1606" w:type="dxa"/>
                    <w:shd w:val="clear" w:color="auto" w:fill="auto"/>
                  </w:tcPr>
                  <w:p>
                    <w:pPr>
                      <w:jc w:val="right"/>
                    </w:pPr>
                    <w:r>
                      <w:t>17,133,055</w:t>
                    </w:r>
                  </w:p>
                </w:tc>
                <w:tc>
                  <w:tcPr>
                    <w:tcW w:w="792" w:type="dxa"/>
                    <w:shd w:val="clear" w:color="auto" w:fill="auto"/>
                  </w:tcPr>
                  <w:p>
                    <w:pPr>
                      <w:jc w:val="right"/>
                    </w:pPr>
                    <w:r>
                      <w:t>0.67</w:t>
                    </w:r>
                  </w:p>
                </w:tc>
                <w:tc>
                  <w:tcPr>
                    <w:tcW w:w="826" w:type="dxa"/>
                    <w:shd w:val="clear" w:color="auto" w:fill="auto"/>
                  </w:tcPr>
                  <w:p>
                    <w:pPr>
                      <w:jc w:val="right"/>
                    </w:pPr>
                    <w:r>
                      <w:t>0</w:t>
                    </w:r>
                  </w:p>
                </w:tc>
                <w:sdt>
                  <w:sdtPr>
                    <w:alias w:val="前十名股东持有股份状态"/>
                    <w:tag w:val="_GBC_d5194108b2a8481e94140819dbdc5afe"/>
                    <w:id w:val="2515384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54"/>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中国建设银行股份有限公司－交银施罗德蓝筹混合型证券投资基金</w:t>
                    </w:r>
                  </w:p>
                </w:tc>
                <w:tc>
                  <w:tcPr>
                    <w:tcW w:w="1302" w:type="dxa"/>
                    <w:shd w:val="clear" w:color="auto" w:fill="auto"/>
                  </w:tcPr>
                  <w:p>
                    <w:pPr>
                      <w:jc w:val="right"/>
                    </w:pPr>
                    <w:r>
                      <w:t>7,999,901</w:t>
                    </w:r>
                  </w:p>
                </w:tc>
                <w:tc>
                  <w:tcPr>
                    <w:tcW w:w="1606" w:type="dxa"/>
                    <w:shd w:val="clear" w:color="auto" w:fill="auto"/>
                  </w:tcPr>
                  <w:p>
                    <w:pPr>
                      <w:jc w:val="right"/>
                    </w:pPr>
                    <w:r>
                      <w:t>7,999,901</w:t>
                    </w:r>
                  </w:p>
                </w:tc>
                <w:tc>
                  <w:tcPr>
                    <w:tcW w:w="792" w:type="dxa"/>
                    <w:shd w:val="clear" w:color="auto" w:fill="auto"/>
                  </w:tcPr>
                  <w:p>
                    <w:pPr>
                      <w:jc w:val="right"/>
                    </w:pPr>
                    <w:r>
                      <w:t>0.31</w:t>
                    </w:r>
                  </w:p>
                </w:tc>
                <w:tc>
                  <w:tcPr>
                    <w:tcW w:w="826" w:type="dxa"/>
                    <w:shd w:val="clear" w:color="auto" w:fill="auto"/>
                  </w:tcPr>
                  <w:p>
                    <w:pPr>
                      <w:jc w:val="right"/>
                    </w:pPr>
                    <w:r>
                      <w:t>0</w:t>
                    </w:r>
                  </w:p>
                </w:tc>
                <w:sdt>
                  <w:sdtPr>
                    <w:alias w:val="前十名股东持有股份状态"/>
                    <w:tag w:val="_GBC_d5194108b2a8481e94140819dbdc5afe"/>
                    <w:id w:val="2515385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57"/>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香港中央结算有限公司</w:t>
                    </w:r>
                  </w:p>
                </w:tc>
                <w:tc>
                  <w:tcPr>
                    <w:tcW w:w="1302" w:type="dxa"/>
                    <w:shd w:val="clear" w:color="auto" w:fill="auto"/>
                  </w:tcPr>
                  <w:p>
                    <w:pPr>
                      <w:jc w:val="right"/>
                      <w:rPr>
                        <w:b/>
                      </w:rPr>
                    </w:pPr>
                    <w:r>
                      <w:t>7,653,920</w:t>
                    </w:r>
                  </w:p>
                </w:tc>
                <w:tc>
                  <w:tcPr>
                    <w:tcW w:w="1606" w:type="dxa"/>
                    <w:shd w:val="clear" w:color="auto" w:fill="auto"/>
                  </w:tcPr>
                  <w:p>
                    <w:pPr>
                      <w:jc w:val="right"/>
                    </w:pPr>
                    <w:r>
                      <w:t>7,653,920</w:t>
                    </w:r>
                  </w:p>
                </w:tc>
                <w:tc>
                  <w:tcPr>
                    <w:tcW w:w="792" w:type="dxa"/>
                    <w:shd w:val="clear" w:color="auto" w:fill="auto"/>
                  </w:tcPr>
                  <w:p>
                    <w:pPr>
                      <w:jc w:val="right"/>
                    </w:pPr>
                    <w:r>
                      <w:t>0.30</w:t>
                    </w:r>
                  </w:p>
                </w:tc>
                <w:tc>
                  <w:tcPr>
                    <w:tcW w:w="826" w:type="dxa"/>
                    <w:shd w:val="clear" w:color="auto" w:fill="auto"/>
                  </w:tcPr>
                  <w:p>
                    <w:pPr>
                      <w:jc w:val="right"/>
                    </w:pPr>
                    <w:r>
                      <w:t>0</w:t>
                    </w:r>
                  </w:p>
                </w:tc>
                <w:sdt>
                  <w:sdtPr>
                    <w:alias w:val="前十名股东持有股份状态"/>
                    <w:tag w:val="_GBC_d5194108b2a8481e94140819dbdc5afe"/>
                    <w:id w:val="2515385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60"/>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蔡伟民</w:t>
                    </w:r>
                  </w:p>
                </w:tc>
                <w:tc>
                  <w:tcPr>
                    <w:tcW w:w="1302" w:type="dxa"/>
                    <w:shd w:val="clear" w:color="auto" w:fill="auto"/>
                  </w:tcPr>
                  <w:p>
                    <w:pPr>
                      <w:jc w:val="right"/>
                      <w:rPr>
                        <w:color w:val="000000"/>
                      </w:rPr>
                    </w:pPr>
                    <w:r>
                      <w:rPr>
                        <w:color w:val="000000"/>
                      </w:rPr>
                      <w:t>6,246,668</w:t>
                    </w:r>
                  </w:p>
                </w:tc>
                <w:tc>
                  <w:tcPr>
                    <w:tcW w:w="1606" w:type="dxa"/>
                    <w:shd w:val="clear" w:color="auto" w:fill="auto"/>
                  </w:tcPr>
                  <w:p>
                    <w:pPr>
                      <w:jc w:val="right"/>
                    </w:pPr>
                    <w:r>
                      <w:t>7,306,068</w:t>
                    </w:r>
                  </w:p>
                </w:tc>
                <w:tc>
                  <w:tcPr>
                    <w:tcW w:w="792" w:type="dxa"/>
                    <w:shd w:val="clear" w:color="auto" w:fill="auto"/>
                  </w:tcPr>
                  <w:p>
                    <w:pPr>
                      <w:jc w:val="right"/>
                    </w:pPr>
                    <w:r>
                      <w:t>0.29</w:t>
                    </w:r>
                  </w:p>
                </w:tc>
                <w:tc>
                  <w:tcPr>
                    <w:tcW w:w="826" w:type="dxa"/>
                    <w:shd w:val="clear" w:color="auto" w:fill="auto"/>
                  </w:tcPr>
                  <w:p>
                    <w:pPr>
                      <w:jc w:val="right"/>
                    </w:pPr>
                    <w:r>
                      <w:t>0</w:t>
                    </w:r>
                  </w:p>
                </w:tc>
                <w:sdt>
                  <w:sdtPr>
                    <w:alias w:val="前十名股东持有股份状态"/>
                    <w:tag w:val="_GBC_d5194108b2a8481e94140819dbdc5afe"/>
                    <w:id w:val="2515385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境内自然人</w:t>
                        </w:r>
                      </w:p>
                    </w:tc>
                  </w:sdtContent>
                </w:sdt>
              </w:tr>
            </w:sdtContent>
          </w:sdt>
          <w:sdt>
            <w:sdtPr>
              <w:rPr>
                <w:szCs w:val="21"/>
              </w:rPr>
              <w:alias w:val="前十名股东持股情况"/>
              <w:tag w:val="_GBC_5fc8eaeeffc7456eb1a09687db3d4206"/>
              <w:id w:val="25153863"/>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中国银行股份有限公司－华泰柏瑞量化增强混合型证券投资基金</w:t>
                    </w:r>
                  </w:p>
                </w:tc>
                <w:tc>
                  <w:tcPr>
                    <w:tcW w:w="1302" w:type="dxa"/>
                    <w:shd w:val="clear" w:color="auto" w:fill="auto"/>
                  </w:tcPr>
                  <w:p>
                    <w:pPr>
                      <w:jc w:val="right"/>
                      <w:rPr>
                        <w:b/>
                      </w:rPr>
                    </w:pPr>
                    <w:r>
                      <w:t>5,865,143</w:t>
                    </w:r>
                  </w:p>
                </w:tc>
                <w:tc>
                  <w:tcPr>
                    <w:tcW w:w="1606" w:type="dxa"/>
                    <w:shd w:val="clear" w:color="auto" w:fill="auto"/>
                  </w:tcPr>
                  <w:p>
                    <w:pPr>
                      <w:jc w:val="right"/>
                    </w:pPr>
                    <w:r>
                      <w:t>5,865,143</w:t>
                    </w:r>
                  </w:p>
                </w:tc>
                <w:tc>
                  <w:tcPr>
                    <w:tcW w:w="792" w:type="dxa"/>
                    <w:shd w:val="clear" w:color="auto" w:fill="auto"/>
                  </w:tcPr>
                  <w:p>
                    <w:pPr>
                      <w:jc w:val="right"/>
                    </w:pPr>
                    <w:r>
                      <w:t>0.23</w:t>
                    </w:r>
                  </w:p>
                </w:tc>
                <w:tc>
                  <w:tcPr>
                    <w:tcW w:w="826" w:type="dxa"/>
                    <w:shd w:val="clear" w:color="auto" w:fill="auto"/>
                  </w:tcPr>
                  <w:p>
                    <w:pPr>
                      <w:jc w:val="right"/>
                    </w:pPr>
                    <w:r>
                      <w:t>0</w:t>
                    </w:r>
                  </w:p>
                </w:tc>
                <w:sdt>
                  <w:sdtPr>
                    <w:alias w:val="前十名股东持有股份状态"/>
                    <w:tag w:val="_GBC_d5194108b2a8481e94140819dbdc5afe"/>
                    <w:id w:val="2515386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66"/>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中国建设银行股份有限公司－融通领先成长混合型证券投资基金（LOF）</w:t>
                    </w:r>
                  </w:p>
                </w:tc>
                <w:tc>
                  <w:tcPr>
                    <w:tcW w:w="1302" w:type="dxa"/>
                    <w:shd w:val="clear" w:color="auto" w:fill="auto"/>
                  </w:tcPr>
                  <w:p>
                    <w:pPr>
                      <w:jc w:val="right"/>
                      <w:rPr>
                        <w:color w:val="000000"/>
                      </w:rPr>
                    </w:pPr>
                    <w:r>
                      <w:rPr>
                        <w:color w:val="000000"/>
                      </w:rPr>
                      <w:t>-8,171,327</w:t>
                    </w:r>
                  </w:p>
                </w:tc>
                <w:tc>
                  <w:tcPr>
                    <w:tcW w:w="1606" w:type="dxa"/>
                    <w:shd w:val="clear" w:color="auto" w:fill="auto"/>
                  </w:tcPr>
                  <w:p>
                    <w:pPr>
                      <w:jc w:val="right"/>
                    </w:pPr>
                    <w:r>
                      <w:t>4,900,479</w:t>
                    </w:r>
                  </w:p>
                </w:tc>
                <w:tc>
                  <w:tcPr>
                    <w:tcW w:w="792" w:type="dxa"/>
                    <w:shd w:val="clear" w:color="auto" w:fill="auto"/>
                  </w:tcPr>
                  <w:p>
                    <w:pPr>
                      <w:jc w:val="right"/>
                    </w:pPr>
                    <w:r>
                      <w:t>0.19</w:t>
                    </w:r>
                  </w:p>
                </w:tc>
                <w:tc>
                  <w:tcPr>
                    <w:tcW w:w="826" w:type="dxa"/>
                    <w:shd w:val="clear" w:color="auto" w:fill="auto"/>
                  </w:tcPr>
                  <w:p>
                    <w:pPr>
                      <w:jc w:val="right"/>
                    </w:pPr>
                    <w:r>
                      <w:t>0</w:t>
                    </w:r>
                  </w:p>
                </w:tc>
                <w:sdt>
                  <w:sdtPr>
                    <w:alias w:val="前十名股东持有股份状态"/>
                    <w:tag w:val="_GBC_d5194108b2a8481e94140819dbdc5afe"/>
                    <w:id w:val="2515386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69"/>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中国建设银行股份有限公司－博时裕富沪深300指数证券投资基金</w:t>
                    </w:r>
                  </w:p>
                </w:tc>
                <w:tc>
                  <w:tcPr>
                    <w:tcW w:w="1302" w:type="dxa"/>
                    <w:shd w:val="clear" w:color="auto" w:fill="auto"/>
                  </w:tcPr>
                  <w:p>
                    <w:pPr>
                      <w:jc w:val="right"/>
                    </w:pPr>
                    <w:r>
                      <w:t>4,768,400</w:t>
                    </w:r>
                  </w:p>
                </w:tc>
                <w:tc>
                  <w:tcPr>
                    <w:tcW w:w="1606" w:type="dxa"/>
                    <w:shd w:val="clear" w:color="auto" w:fill="auto"/>
                  </w:tcPr>
                  <w:p>
                    <w:pPr>
                      <w:jc w:val="right"/>
                    </w:pPr>
                    <w:r>
                      <w:t>4,768,400</w:t>
                    </w:r>
                  </w:p>
                </w:tc>
                <w:tc>
                  <w:tcPr>
                    <w:tcW w:w="792" w:type="dxa"/>
                    <w:shd w:val="clear" w:color="auto" w:fill="auto"/>
                  </w:tcPr>
                  <w:p>
                    <w:pPr>
                      <w:jc w:val="right"/>
                    </w:pPr>
                    <w:r>
                      <w:t>0.19</w:t>
                    </w:r>
                  </w:p>
                </w:tc>
                <w:tc>
                  <w:tcPr>
                    <w:tcW w:w="826" w:type="dxa"/>
                    <w:shd w:val="clear" w:color="auto" w:fill="auto"/>
                  </w:tcPr>
                  <w:p>
                    <w:pPr>
                      <w:jc w:val="right"/>
                    </w:pPr>
                    <w:r>
                      <w:t>0</w:t>
                    </w:r>
                  </w:p>
                </w:tc>
                <w:sdt>
                  <w:sdtPr>
                    <w:alias w:val="前十名股东持有股份状态"/>
                    <w:tag w:val="_GBC_d5194108b2a8481e94140819dbdc5afe"/>
                    <w:id w:val="2515386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72"/>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中国光大银行股份有限公司－光大保德信鼎鑫灵活配置混合型证券投资基金</w:t>
                    </w:r>
                  </w:p>
                </w:tc>
                <w:tc>
                  <w:tcPr>
                    <w:tcW w:w="1302" w:type="dxa"/>
                    <w:shd w:val="clear" w:color="auto" w:fill="auto"/>
                  </w:tcPr>
                  <w:p>
                    <w:pPr>
                      <w:jc w:val="right"/>
                    </w:pPr>
                    <w:r>
                      <w:t>4,034,760</w:t>
                    </w:r>
                  </w:p>
                </w:tc>
                <w:tc>
                  <w:tcPr>
                    <w:tcW w:w="1606" w:type="dxa"/>
                    <w:shd w:val="clear" w:color="auto" w:fill="auto"/>
                  </w:tcPr>
                  <w:p>
                    <w:pPr>
                      <w:jc w:val="right"/>
                    </w:pPr>
                    <w:r>
                      <w:t>4,034,760</w:t>
                    </w:r>
                  </w:p>
                </w:tc>
                <w:tc>
                  <w:tcPr>
                    <w:tcW w:w="792" w:type="dxa"/>
                    <w:shd w:val="clear" w:color="auto" w:fill="auto"/>
                  </w:tcPr>
                  <w:p>
                    <w:pPr>
                      <w:jc w:val="right"/>
                    </w:pPr>
                    <w:r>
                      <w:t>0.16</w:t>
                    </w:r>
                  </w:p>
                </w:tc>
                <w:tc>
                  <w:tcPr>
                    <w:tcW w:w="826" w:type="dxa"/>
                    <w:shd w:val="clear" w:color="auto" w:fill="auto"/>
                  </w:tcPr>
                  <w:p>
                    <w:pPr>
                      <w:jc w:val="right"/>
                    </w:pPr>
                    <w:r>
                      <w:t>0</w:t>
                    </w:r>
                  </w:p>
                </w:tc>
                <w:sdt>
                  <w:sdtPr>
                    <w:alias w:val="前十名股东持有股份状态"/>
                    <w:tag w:val="_GBC_d5194108b2a8481e94140819dbdc5afe"/>
                    <w:id w:val="2515387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sdt>
            <w:sdtPr>
              <w:rPr>
                <w:szCs w:val="21"/>
              </w:rPr>
              <w:alias w:val="前十名股东持股情况"/>
              <w:tag w:val="_GBC_5fc8eaeeffc7456eb1a09687db3d4206"/>
              <w:id w:val="25153875"/>
              <w:lock w:val="sdtLocked"/>
            </w:sdtPr>
            <w:sdtEndPr>
              <w:rPr>
                <w:color w:val="FF9900"/>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11" w:type="dxa"/>
                    <w:shd w:val="clear" w:color="auto" w:fill="auto"/>
                  </w:tcPr>
                  <w:p>
                    <w:pPr>
                      <w:pStyle w:val="76"/>
                    </w:pPr>
                    <w:r>
                      <w:t>中国建设银行股份有限公司－景顺长城量化精选股票型证券投资基金</w:t>
                    </w:r>
                  </w:p>
                </w:tc>
                <w:tc>
                  <w:tcPr>
                    <w:tcW w:w="1302" w:type="dxa"/>
                    <w:shd w:val="clear" w:color="auto" w:fill="auto"/>
                  </w:tcPr>
                  <w:p>
                    <w:pPr>
                      <w:jc w:val="right"/>
                      <w:rPr>
                        <w:color w:val="000000"/>
                      </w:rPr>
                    </w:pPr>
                    <w:r>
                      <w:rPr>
                        <w:color w:val="000000"/>
                      </w:rPr>
                      <w:t>2,447,053</w:t>
                    </w:r>
                  </w:p>
                </w:tc>
                <w:tc>
                  <w:tcPr>
                    <w:tcW w:w="1606" w:type="dxa"/>
                    <w:shd w:val="clear" w:color="auto" w:fill="auto"/>
                  </w:tcPr>
                  <w:p>
                    <w:pPr>
                      <w:jc w:val="right"/>
                    </w:pPr>
                    <w:r>
                      <w:t>3,773,553</w:t>
                    </w:r>
                  </w:p>
                </w:tc>
                <w:tc>
                  <w:tcPr>
                    <w:tcW w:w="792" w:type="dxa"/>
                    <w:shd w:val="clear" w:color="auto" w:fill="auto"/>
                  </w:tcPr>
                  <w:p>
                    <w:pPr>
                      <w:jc w:val="right"/>
                    </w:pPr>
                    <w:r>
                      <w:t>0.15</w:t>
                    </w:r>
                  </w:p>
                </w:tc>
                <w:tc>
                  <w:tcPr>
                    <w:tcW w:w="826" w:type="dxa"/>
                    <w:shd w:val="clear" w:color="auto" w:fill="auto"/>
                  </w:tcPr>
                  <w:p>
                    <w:pPr>
                      <w:jc w:val="right"/>
                    </w:pPr>
                    <w:r>
                      <w:t>0</w:t>
                    </w:r>
                  </w:p>
                </w:tc>
                <w:sdt>
                  <w:sdtPr>
                    <w:alias w:val="前十名股东持有股份状态"/>
                    <w:tag w:val="_GBC_d5194108b2a8481e94140819dbdc5afe"/>
                    <w:id w:val="2515387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69" w:type="dxa"/>
                        <w:shd w:val="clear" w:color="auto" w:fill="auto"/>
                        <w:vAlign w:val="center"/>
                      </w:tcPr>
                      <w:p>
                        <w:pPr>
                          <w:jc w:val="center"/>
                        </w:pPr>
                        <w:r>
                          <w:t>无</w:t>
                        </w:r>
                      </w:p>
                    </w:tc>
                  </w:sdtContent>
                </w:sdt>
                <w:tc>
                  <w:tcPr>
                    <w:tcW w:w="559" w:type="dxa"/>
                    <w:gridSpan w:val="2"/>
                    <w:shd w:val="clear" w:color="auto" w:fill="auto"/>
                  </w:tcPr>
                  <w:p>
                    <w:pPr>
                      <w:jc w:val="right"/>
                    </w:pPr>
                  </w:p>
                </w:tc>
                <w:sdt>
                  <w:sdtPr>
                    <w:alias w:val="前十名股东的股东性质"/>
                    <w:tag w:val="_GBC_71380bc899eb4b9781e95e37e7a1e221"/>
                    <w:id w:val="251538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84" w:type="dxa"/>
                        <w:shd w:val="clear" w:color="auto" w:fill="auto"/>
                      </w:tcPr>
                      <w:p>
                        <w:pPr>
                          <w:rPr>
                            <w:color w:val="FF9900"/>
                          </w:rPr>
                        </w:pPr>
                        <w:r>
                          <w:t>未知</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6f36efd0621247ffb7b2462dd9753e27"/>
                <w:id w:val="25153876"/>
                <w:lock w:val="sdtLocked"/>
              </w:sdtPr>
              <w:sdtContent>
                <w:tc>
                  <w:tcPr>
                    <w:tcW w:w="9049" w:type="dxa"/>
                    <w:gridSpan w:val="9"/>
                    <w:shd w:val="clear" w:color="auto" w:fill="auto"/>
                  </w:tcPr>
                  <w:p>
                    <w:pPr>
                      <w:jc w:val="center"/>
                      <w:rPr>
                        <w:color w:val="FF9900"/>
                      </w:rPr>
                    </w:pPr>
                    <w:r>
                      <w:t>前十名无限售条件股东持股情况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6c8c7d50ba2b44858757eeaaa20b5499"/>
                <w:id w:val="25153877"/>
                <w:lock w:val="sdtLocked"/>
              </w:sdtPr>
              <w:sdtContent>
                <w:tc>
                  <w:tcPr>
                    <w:tcW w:w="3313" w:type="dxa"/>
                    <w:gridSpan w:val="2"/>
                    <w:vMerge w:val="restart"/>
                    <w:shd w:val="clear" w:color="auto" w:fill="auto"/>
                    <w:vAlign w:val="center"/>
                  </w:tcPr>
                  <w:p>
                    <w:pPr>
                      <w:jc w:val="center"/>
                      <w:rPr>
                        <w:color w:val="FF9900"/>
                      </w:rPr>
                    </w:pPr>
                    <w:r>
                      <w:t>股东名称</w:t>
                    </w:r>
                  </w:p>
                </w:tc>
              </w:sdtContent>
            </w:sdt>
            <w:sdt>
              <w:sdtPr>
                <w:tag w:val="_PLD_e4987b1a07a6489c82ab5ef0aa3370ea"/>
                <w:id w:val="25153878"/>
                <w:lock w:val="sdtLocked"/>
              </w:sdtPr>
              <w:sdtContent>
                <w:tc>
                  <w:tcPr>
                    <w:tcW w:w="3224" w:type="dxa"/>
                    <w:gridSpan w:val="3"/>
                    <w:vMerge w:val="restart"/>
                    <w:shd w:val="clear" w:color="auto" w:fill="auto"/>
                    <w:vAlign w:val="center"/>
                  </w:tcPr>
                  <w:p>
                    <w:pPr>
                      <w:jc w:val="center"/>
                      <w:rPr>
                        <w:color w:val="FF9900"/>
                      </w:rPr>
                    </w:pPr>
                    <w:r>
                      <w:t>持有无限售条件流通股的数量</w:t>
                    </w:r>
                  </w:p>
                </w:tc>
              </w:sdtContent>
            </w:sdt>
            <w:sdt>
              <w:sdtPr>
                <w:tag w:val="_PLD_26ce78cac14a427ca05aa80b21b65936"/>
                <w:id w:val="25153879"/>
                <w:lock w:val="sdtLocked"/>
              </w:sdtPr>
              <w:sdtContent>
                <w:tc>
                  <w:tcPr>
                    <w:tcW w:w="2512" w:type="dxa"/>
                    <w:gridSpan w:val="4"/>
                    <w:tcBorders>
                      <w:bottom w:val="single" w:color="auto" w:sz="4" w:space="0"/>
                    </w:tcBorders>
                    <w:shd w:val="clear" w:color="auto" w:fill="auto"/>
                    <w:vAlign w:val="center"/>
                  </w:tcPr>
                  <w:p>
                    <w:pPr>
                      <w:jc w:val="center"/>
                      <w:rPr>
                        <w:color w:val="FF9900"/>
                      </w:rPr>
                    </w:pPr>
                    <w:r>
                      <w:t>股份种类</w:t>
                    </w:r>
                    <w:r>
                      <w:rPr>
                        <w:rFonts w:hint="eastAsia"/>
                      </w:rPr>
                      <w:t>及数量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vMerge w:val="continue"/>
                <w:shd w:val="clear" w:color="auto" w:fill="auto"/>
                <w:vAlign w:val="center"/>
              </w:tcPr>
              <w:p>
                <w:pPr>
                  <w:jc w:val="center"/>
                  <w:rPr>
                    <w:color w:val="FF9900"/>
                  </w:rPr>
                </w:pPr>
              </w:p>
            </w:tc>
            <w:tc>
              <w:tcPr>
                <w:tcW w:w="3224" w:type="dxa"/>
                <w:gridSpan w:val="3"/>
                <w:vMerge w:val="continue"/>
                <w:shd w:val="clear" w:color="auto" w:fill="auto"/>
                <w:vAlign w:val="center"/>
              </w:tcPr>
              <w:p>
                <w:pPr>
                  <w:jc w:val="center"/>
                  <w:rPr>
                    <w:color w:val="FF9900"/>
                  </w:rPr>
                </w:pPr>
              </w:p>
            </w:tc>
            <w:sdt>
              <w:sdtPr>
                <w:tag w:val="_PLD_05580a00e3f942c0b2da618818a84669"/>
                <w:id w:val="25153880"/>
                <w:lock w:val="sdtLocked"/>
              </w:sdtPr>
              <w:sdtContent>
                <w:tc>
                  <w:tcPr>
                    <w:tcW w:w="905" w:type="dxa"/>
                    <w:gridSpan w:val="2"/>
                    <w:shd w:val="clear" w:color="auto" w:fill="auto"/>
                    <w:vAlign w:val="center"/>
                  </w:tcPr>
                  <w:p>
                    <w:pPr>
                      <w:jc w:val="center"/>
                      <w:rPr>
                        <w:color w:val="008000"/>
                      </w:rPr>
                    </w:pPr>
                    <w:r>
                      <w:rPr>
                        <w:rFonts w:hint="eastAsia"/>
                      </w:rPr>
                      <w:t>种类</w:t>
                    </w:r>
                  </w:p>
                </w:tc>
              </w:sdtContent>
            </w:sdt>
            <w:sdt>
              <w:sdtPr>
                <w:tag w:val="_PLD_7f8ec6251e234192b411b34b07ccd732"/>
                <w:id w:val="25153881"/>
                <w:lock w:val="sdtLocked"/>
              </w:sdtPr>
              <w:sdtContent>
                <w:tc>
                  <w:tcPr>
                    <w:tcW w:w="1607" w:type="dxa"/>
                    <w:gridSpan w:val="2"/>
                    <w:shd w:val="clear" w:color="auto" w:fill="auto"/>
                    <w:vAlign w:val="center"/>
                  </w:tcPr>
                  <w:p>
                    <w:pPr>
                      <w:jc w:val="center"/>
                      <w:rPr>
                        <w:color w:val="008000"/>
                      </w:rPr>
                    </w:pPr>
                    <w:r>
                      <w:rPr>
                        <w:rFonts w:hint="eastAsia"/>
                      </w:rPr>
                      <w:t>数量</w:t>
                    </w:r>
                  </w:p>
                </w:tc>
              </w:sdtContent>
            </w:sdt>
          </w:tr>
          <w:sdt>
            <w:sdtPr>
              <w:rPr>
                <w:szCs w:val="21"/>
              </w:rPr>
              <w:alias w:val="前十名无限售条件股东持股情况"/>
              <w:tag w:val="_GBC_d4835fea183942b8823bf8913d1f2f26"/>
              <w:id w:val="2515388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广西柳州钢铁集团有限公司</w:t>
                    </w:r>
                  </w:p>
                </w:tc>
                <w:tc>
                  <w:tcPr>
                    <w:tcW w:w="3224" w:type="dxa"/>
                    <w:gridSpan w:val="3"/>
                    <w:shd w:val="clear" w:color="auto" w:fill="auto"/>
                  </w:tcPr>
                  <w:p>
                    <w:pPr>
                      <w:jc w:val="right"/>
                    </w:pPr>
                    <w:r>
                      <w:t>2,114,433,135</w:t>
                    </w:r>
                  </w:p>
                </w:tc>
                <w:sdt>
                  <w:sdtPr>
                    <w:rPr>
                      <w:bCs/>
                    </w:rPr>
                    <w:alias w:val="前十名无限售条件股东期末持有流通股的种类"/>
                    <w:tag w:val="_GBC_5d0d3dfc3b8545ce906ab8a21728fb94"/>
                    <w:id w:val="251538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2,114,433,135</w:t>
                    </w:r>
                  </w:p>
                </w:tc>
              </w:tr>
            </w:sdtContent>
          </w:sdt>
          <w:sdt>
            <w:sdtPr>
              <w:rPr>
                <w:szCs w:val="21"/>
              </w:rPr>
              <w:alias w:val="前十名无限售条件股东持股情况"/>
              <w:tag w:val="_GBC_d4835fea183942b8823bf8913d1f2f26"/>
              <w:id w:val="2515388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招商银行股份有限公司－光大保德信优势配置混合型证券投资基金</w:t>
                    </w:r>
                  </w:p>
                </w:tc>
                <w:tc>
                  <w:tcPr>
                    <w:tcW w:w="3224" w:type="dxa"/>
                    <w:gridSpan w:val="3"/>
                    <w:shd w:val="clear" w:color="auto" w:fill="auto"/>
                  </w:tcPr>
                  <w:p>
                    <w:pPr>
                      <w:jc w:val="right"/>
                    </w:pPr>
                    <w:r>
                      <w:t>17,133,055</w:t>
                    </w:r>
                  </w:p>
                </w:tc>
                <w:sdt>
                  <w:sdtPr>
                    <w:rPr>
                      <w:bCs/>
                    </w:rPr>
                    <w:alias w:val="前十名无限售条件股东期末持有流通股的种类"/>
                    <w:tag w:val="_GBC_5d0d3dfc3b8545ce906ab8a21728fb94"/>
                    <w:id w:val="2515388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17,133,055</w:t>
                    </w:r>
                  </w:p>
                </w:tc>
              </w:tr>
            </w:sdtContent>
          </w:sdt>
          <w:sdt>
            <w:sdtPr>
              <w:rPr>
                <w:szCs w:val="21"/>
              </w:rPr>
              <w:alias w:val="前十名无限售条件股东持股情况"/>
              <w:tag w:val="_GBC_d4835fea183942b8823bf8913d1f2f26"/>
              <w:id w:val="2515388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中国建设银行股份有限公司－交银施罗德蓝筹混合型证券投资基金</w:t>
                    </w:r>
                  </w:p>
                </w:tc>
                <w:tc>
                  <w:tcPr>
                    <w:tcW w:w="3224" w:type="dxa"/>
                    <w:gridSpan w:val="3"/>
                    <w:shd w:val="clear" w:color="auto" w:fill="auto"/>
                  </w:tcPr>
                  <w:p>
                    <w:pPr>
                      <w:jc w:val="right"/>
                    </w:pPr>
                    <w:r>
                      <w:t>7,999,901</w:t>
                    </w:r>
                  </w:p>
                </w:tc>
                <w:sdt>
                  <w:sdtPr>
                    <w:rPr>
                      <w:bCs/>
                    </w:rPr>
                    <w:alias w:val="前十名无限售条件股东期末持有流通股的种类"/>
                    <w:tag w:val="_GBC_5d0d3dfc3b8545ce906ab8a21728fb94"/>
                    <w:id w:val="251538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7,999,901</w:t>
                    </w:r>
                  </w:p>
                </w:tc>
              </w:tr>
            </w:sdtContent>
          </w:sdt>
          <w:sdt>
            <w:sdtPr>
              <w:rPr>
                <w:szCs w:val="21"/>
              </w:rPr>
              <w:alias w:val="前十名无限售条件股东持股情况"/>
              <w:tag w:val="_GBC_d4835fea183942b8823bf8913d1f2f26"/>
              <w:id w:val="2515388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香港中央结算有限公司</w:t>
                    </w:r>
                  </w:p>
                </w:tc>
                <w:tc>
                  <w:tcPr>
                    <w:tcW w:w="3224" w:type="dxa"/>
                    <w:gridSpan w:val="3"/>
                    <w:shd w:val="clear" w:color="auto" w:fill="auto"/>
                  </w:tcPr>
                  <w:p>
                    <w:pPr>
                      <w:jc w:val="right"/>
                    </w:pPr>
                    <w:r>
                      <w:t>7,653,920</w:t>
                    </w:r>
                  </w:p>
                </w:tc>
                <w:sdt>
                  <w:sdtPr>
                    <w:rPr>
                      <w:bCs/>
                    </w:rPr>
                    <w:alias w:val="前十名无限售条件股东期末持有流通股的种类"/>
                    <w:tag w:val="_GBC_5d0d3dfc3b8545ce906ab8a21728fb94"/>
                    <w:id w:val="251538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7,653,920</w:t>
                    </w:r>
                  </w:p>
                </w:tc>
              </w:tr>
            </w:sdtContent>
          </w:sdt>
          <w:sdt>
            <w:sdtPr>
              <w:rPr>
                <w:szCs w:val="21"/>
              </w:rPr>
              <w:alias w:val="前十名无限售条件股东持股情况"/>
              <w:tag w:val="_GBC_d4835fea183942b8823bf8913d1f2f26"/>
              <w:id w:val="25153891"/>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蔡伟民</w:t>
                    </w:r>
                  </w:p>
                </w:tc>
                <w:tc>
                  <w:tcPr>
                    <w:tcW w:w="3224" w:type="dxa"/>
                    <w:gridSpan w:val="3"/>
                    <w:shd w:val="clear" w:color="auto" w:fill="auto"/>
                  </w:tcPr>
                  <w:p>
                    <w:pPr>
                      <w:jc w:val="right"/>
                    </w:pPr>
                    <w:r>
                      <w:t>7,306,068</w:t>
                    </w:r>
                  </w:p>
                </w:tc>
                <w:sdt>
                  <w:sdtPr>
                    <w:rPr>
                      <w:bCs/>
                    </w:rPr>
                    <w:alias w:val="前十名无限售条件股东期末持有流通股的种类"/>
                    <w:tag w:val="_GBC_5d0d3dfc3b8545ce906ab8a21728fb94"/>
                    <w:id w:val="251538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7,306,068</w:t>
                    </w:r>
                  </w:p>
                </w:tc>
              </w:tr>
            </w:sdtContent>
          </w:sdt>
          <w:sdt>
            <w:sdtPr>
              <w:rPr>
                <w:szCs w:val="21"/>
              </w:rPr>
              <w:alias w:val="前十名无限售条件股东持股情况"/>
              <w:tag w:val="_GBC_d4835fea183942b8823bf8913d1f2f26"/>
              <w:id w:val="2515389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中国银行股份有限公司－华泰柏瑞量化增强混合型证券投资基金</w:t>
                    </w:r>
                  </w:p>
                </w:tc>
                <w:tc>
                  <w:tcPr>
                    <w:tcW w:w="3224" w:type="dxa"/>
                    <w:gridSpan w:val="3"/>
                    <w:shd w:val="clear" w:color="auto" w:fill="auto"/>
                  </w:tcPr>
                  <w:p>
                    <w:pPr>
                      <w:jc w:val="right"/>
                    </w:pPr>
                    <w:r>
                      <w:t>5,865,143</w:t>
                    </w:r>
                  </w:p>
                </w:tc>
                <w:sdt>
                  <w:sdtPr>
                    <w:rPr>
                      <w:bCs/>
                    </w:rPr>
                    <w:alias w:val="前十名无限售条件股东期末持有流通股的种类"/>
                    <w:tag w:val="_GBC_5d0d3dfc3b8545ce906ab8a21728fb94"/>
                    <w:id w:val="251538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5,865,143</w:t>
                    </w:r>
                  </w:p>
                </w:tc>
              </w:tr>
            </w:sdtContent>
          </w:sdt>
          <w:sdt>
            <w:sdtPr>
              <w:rPr>
                <w:szCs w:val="21"/>
              </w:rPr>
              <w:alias w:val="前十名无限售条件股东持股情况"/>
              <w:tag w:val="_GBC_d4835fea183942b8823bf8913d1f2f26"/>
              <w:id w:val="2515389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中国建设银行股份有限公司－融通领先成长混合型证券投资基金（LOF）</w:t>
                    </w:r>
                  </w:p>
                </w:tc>
                <w:tc>
                  <w:tcPr>
                    <w:tcW w:w="3224" w:type="dxa"/>
                    <w:gridSpan w:val="3"/>
                    <w:shd w:val="clear" w:color="auto" w:fill="auto"/>
                  </w:tcPr>
                  <w:p>
                    <w:pPr>
                      <w:jc w:val="right"/>
                    </w:pPr>
                    <w:r>
                      <w:t>4,900,479</w:t>
                    </w:r>
                  </w:p>
                </w:tc>
                <w:sdt>
                  <w:sdtPr>
                    <w:rPr>
                      <w:bCs/>
                    </w:rPr>
                    <w:alias w:val="前十名无限售条件股东期末持有流通股的种类"/>
                    <w:tag w:val="_GBC_5d0d3dfc3b8545ce906ab8a21728fb94"/>
                    <w:id w:val="251538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4,900,479</w:t>
                    </w:r>
                  </w:p>
                </w:tc>
              </w:tr>
            </w:sdtContent>
          </w:sdt>
          <w:sdt>
            <w:sdtPr>
              <w:rPr>
                <w:szCs w:val="21"/>
              </w:rPr>
              <w:alias w:val="前十名无限售条件股东持股情况"/>
              <w:tag w:val="_GBC_d4835fea183942b8823bf8913d1f2f26"/>
              <w:id w:val="2515389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中国建设银行股份有限公司－博时裕富沪深300指数证券投资基金</w:t>
                    </w:r>
                  </w:p>
                </w:tc>
                <w:tc>
                  <w:tcPr>
                    <w:tcW w:w="3224" w:type="dxa"/>
                    <w:gridSpan w:val="3"/>
                    <w:shd w:val="clear" w:color="auto" w:fill="auto"/>
                  </w:tcPr>
                  <w:p>
                    <w:pPr>
                      <w:jc w:val="right"/>
                    </w:pPr>
                    <w:r>
                      <w:t>4,768,400</w:t>
                    </w:r>
                  </w:p>
                </w:tc>
                <w:sdt>
                  <w:sdtPr>
                    <w:rPr>
                      <w:bCs/>
                    </w:rPr>
                    <w:alias w:val="前十名无限售条件股东期末持有流通股的种类"/>
                    <w:tag w:val="_GBC_5d0d3dfc3b8545ce906ab8a21728fb94"/>
                    <w:id w:val="251538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4,768,400</w:t>
                    </w:r>
                  </w:p>
                </w:tc>
              </w:tr>
            </w:sdtContent>
          </w:sdt>
          <w:sdt>
            <w:sdtPr>
              <w:rPr>
                <w:szCs w:val="21"/>
              </w:rPr>
              <w:alias w:val="前十名无限售条件股东持股情况"/>
              <w:tag w:val="_GBC_d4835fea183942b8823bf8913d1f2f26"/>
              <w:id w:val="2515389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中国光大银行股份有限公司－光大保德信鼎鑫灵活配置混合型证券投资基金</w:t>
                    </w:r>
                  </w:p>
                </w:tc>
                <w:tc>
                  <w:tcPr>
                    <w:tcW w:w="3224" w:type="dxa"/>
                    <w:gridSpan w:val="3"/>
                    <w:shd w:val="clear" w:color="auto" w:fill="auto"/>
                  </w:tcPr>
                  <w:p>
                    <w:pPr>
                      <w:jc w:val="right"/>
                    </w:pPr>
                    <w:r>
                      <w:t>4,034,760</w:t>
                    </w:r>
                  </w:p>
                </w:tc>
                <w:sdt>
                  <w:sdtPr>
                    <w:rPr>
                      <w:bCs/>
                    </w:rPr>
                    <w:alias w:val="前十名无限售条件股东期末持有流通股的种类"/>
                    <w:tag w:val="_GBC_5d0d3dfc3b8545ce906ab8a21728fb94"/>
                    <w:id w:val="2515389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4,034,760</w:t>
                    </w:r>
                  </w:p>
                </w:tc>
              </w:tr>
            </w:sdtContent>
          </w:sdt>
          <w:sdt>
            <w:sdtPr>
              <w:rPr>
                <w:szCs w:val="21"/>
              </w:rPr>
              <w:alias w:val="前十名无限售条件股东持股情况"/>
              <w:tag w:val="_GBC_d4835fea183942b8823bf8913d1f2f26"/>
              <w:id w:val="25153901"/>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13" w:type="dxa"/>
                    <w:gridSpan w:val="2"/>
                    <w:shd w:val="clear" w:color="auto" w:fill="auto"/>
                  </w:tcPr>
                  <w:p>
                    <w:pPr>
                      <w:pStyle w:val="76"/>
                    </w:pPr>
                    <w:r>
                      <w:t>中国建设银行股份有限公司－景顺长城量化精选股票型证券投资基金</w:t>
                    </w:r>
                  </w:p>
                </w:tc>
                <w:tc>
                  <w:tcPr>
                    <w:tcW w:w="3224" w:type="dxa"/>
                    <w:gridSpan w:val="3"/>
                    <w:shd w:val="clear" w:color="auto" w:fill="auto"/>
                  </w:tcPr>
                  <w:p>
                    <w:pPr>
                      <w:jc w:val="right"/>
                    </w:pPr>
                    <w:r>
                      <w:t>3,773,553</w:t>
                    </w:r>
                  </w:p>
                </w:tc>
                <w:sdt>
                  <w:sdtPr>
                    <w:rPr>
                      <w:bCs/>
                    </w:rPr>
                    <w:alias w:val="前十名无限售条件股东期末持有流通股的种类"/>
                    <w:tag w:val="_GBC_5d0d3dfc3b8545ce906ab8a21728fb94"/>
                    <w:id w:val="251539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rPr>
                  </w:sdtEndPr>
                  <w:sdtContent>
                    <w:tc>
                      <w:tcPr>
                        <w:tcW w:w="905" w:type="dxa"/>
                        <w:gridSpan w:val="2"/>
                        <w:shd w:val="clear" w:color="auto" w:fill="auto"/>
                        <w:vAlign w:val="center"/>
                      </w:tcPr>
                      <w:p>
                        <w:pPr>
                          <w:jc w:val="center"/>
                          <w:rPr>
                            <w:bCs/>
                          </w:rPr>
                        </w:pPr>
                        <w:r>
                          <w:rPr>
                            <w:bCs/>
                          </w:rPr>
                          <w:t>人民币普通股</w:t>
                        </w:r>
                      </w:p>
                    </w:tc>
                  </w:sdtContent>
                </w:sdt>
                <w:tc>
                  <w:tcPr>
                    <w:tcW w:w="1607" w:type="dxa"/>
                    <w:gridSpan w:val="2"/>
                    <w:shd w:val="clear" w:color="auto" w:fill="auto"/>
                  </w:tcPr>
                  <w:p>
                    <w:pPr>
                      <w:jc w:val="right"/>
                    </w:pPr>
                    <w:r>
                      <w:t>3,773,553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7013809d29cf4718a9bcc3305f3a2fcd"/>
                <w:id w:val="25153902"/>
                <w:lock w:val="sdtLocked"/>
              </w:sdtPr>
              <w:sdtContent>
                <w:tc>
                  <w:tcPr>
                    <w:tcW w:w="3313" w:type="dxa"/>
                    <w:gridSpan w:val="2"/>
                    <w:shd w:val="clear" w:color="auto" w:fill="auto"/>
                  </w:tcPr>
                  <w:p>
                    <w:pPr>
                      <w:pStyle w:val="76"/>
                    </w:pPr>
                    <w:r>
                      <w:t>上述股东关联关系或一致行动的说明</w:t>
                    </w:r>
                  </w:p>
                </w:tc>
              </w:sdtContent>
            </w:sdt>
            <w:tc>
              <w:tcPr>
                <w:tcW w:w="5736" w:type="dxa"/>
                <w:gridSpan w:val="7"/>
                <w:shd w:val="clear" w:color="auto" w:fill="auto"/>
              </w:tcPr>
              <w:p>
                <w:pPr>
                  <w:pStyle w:val="76"/>
                </w:pPr>
                <w:r>
                  <w:t>本公司未知上述股东之间是否存在关联关系或属于《上市公司收购管理办法》中规定的一致行动人。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03a6639ad7fb4ac1a2cd145fe333146e"/>
                <w:id w:val="25153903"/>
                <w:lock w:val="sdtLocked"/>
              </w:sdtPr>
              <w:sdtContent>
                <w:tc>
                  <w:tcPr>
                    <w:tcW w:w="3313" w:type="dxa"/>
                    <w:gridSpan w:val="2"/>
                    <w:shd w:val="clear" w:color="auto" w:fill="auto"/>
                  </w:tcPr>
                  <w:p>
                    <w:pPr>
                      <w:pStyle w:val="76"/>
                    </w:pPr>
                    <w:r>
                      <w:rPr>
                        <w:rFonts w:hint="eastAsia"/>
                      </w:rPr>
                      <w:t>表决权恢复的优先股股东及持股数量的说明</w:t>
                    </w:r>
                  </w:p>
                </w:tc>
              </w:sdtContent>
            </w:sdt>
            <w:tc>
              <w:tcPr>
                <w:tcW w:w="5736" w:type="dxa"/>
                <w:gridSpan w:val="7"/>
                <w:shd w:val="clear" w:color="auto" w:fill="auto"/>
              </w:tcPr>
              <w:p>
                <w:pPr>
                  <w:pStyle w:val="76"/>
                </w:pPr>
                <w:r>
                  <w:t>不适用</w:t>
                </w:r>
              </w:p>
            </w:tc>
          </w:tr>
        </w:tbl>
        <w:p>
          <w:pPr>
            <w:pStyle w:val="76"/>
          </w:pPr>
        </w:p>
        <w:p>
          <w:pPr>
            <w:pStyle w:val="76"/>
          </w:pPr>
          <w:r>
            <w:t>前十名有限售条件股东持股数量及限售条件</w:t>
          </w:r>
        </w:p>
        <w:p>
          <w:pPr>
            <w:pStyle w:val="76"/>
          </w:pPr>
          <w:sdt>
            <w:sdtPr>
              <w:rPr>
                <w:bCs/>
              </w:rPr>
              <w:alias w:val="是否适用：前十名有限售条件股东持股数量及限售条件[双击切换]"/>
              <w:tag w:val="_GBC_681c25d581914cb19d4b007c00511b6a"/>
              <w:id w:val="25153904"/>
              <w:lock w:val="sdtContentLocked"/>
              <w:placeholder>
                <w:docPart w:val="GBC22222222222222222222222222222"/>
              </w:placeholder>
            </w:sdtPr>
            <w:sdtEndPr>
              <w:rPr>
                <w:bCs/>
              </w:rPr>
            </w:sdtEndPr>
            <w:sdtContent>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sdtContent>
          </w:sdt>
        </w:p>
      </w:sdtContent>
    </w:sdt>
    <w:sdt>
      <w:sdtPr>
        <w:rPr>
          <w:b w:val="0"/>
          <w:bCs w:val="0"/>
          <w:szCs w:val="22"/>
        </w:rPr>
        <w:alias w:val="模块:战略投资者或一般法人因配售新股成为前10名股东"/>
        <w:tag w:val="_GBC_e978a717352b4bf6852a761b15c1e95b"/>
        <w:id w:val="25153907"/>
        <w:lock w:val="sdtLocked"/>
        <w:placeholder>
          <w:docPart w:val="GBC22222222222222222222222222222"/>
        </w:placeholder>
      </w:sdtPr>
      <w:sdtEndPr>
        <w:rPr>
          <w:rFonts w:hint="eastAsia"/>
          <w:b w:val="0"/>
          <w:bCs w:val="0"/>
          <w:szCs w:val="21"/>
        </w:rPr>
      </w:sdtEndPr>
      <w:sdtContent>
        <w:p>
          <w:pPr>
            <w:pStyle w:val="4"/>
            <w:numPr>
              <w:ilvl w:val="1"/>
              <w:numId w:val="30"/>
            </w:numPr>
          </w:pPr>
          <w:bookmarkStart w:id="34" w:name="_Toc342059487"/>
          <w:bookmarkStart w:id="35" w:name="_Toc342566000"/>
          <w:r>
            <w:t>战略投资者或一般法人因配售新股成为前10名股东</w:t>
          </w:r>
        </w:p>
        <w:p>
          <w:pPr>
            <w:pStyle w:val="76"/>
          </w:pPr>
          <w:sdt>
            <w:sdtPr>
              <w:alias w:val="是否适用：战略投资者或一般法人因配售新股成为前10名股东[双击切换]"/>
              <w:tag w:val="_GBC_fe7bdc72bd78490fb48d0f3eaca6248e"/>
              <w:id w:val="25153906"/>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34"/>
    <w:bookmarkEnd w:id="35"/>
    <w:p>
      <w:pPr>
        <w:pStyle w:val="3"/>
        <w:numPr>
          <w:ilvl w:val="0"/>
          <w:numId w:val="27"/>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25153909"/>
        <w:lock w:val="sdtLocked"/>
        <w:placeholder>
          <w:docPart w:val="GBC22222222222222222222222222222"/>
        </w:placeholder>
      </w:sdtPr>
      <w:sdtContent>
        <w:sdt>
          <w:sdtPr>
            <w:alias w:val="是否适用：控股股东及实际控制人变更情况[双击切换]"/>
            <w:tag w:val="_GBC_84ff369a3f714dbbbec5a13460906f4b"/>
            <w:id w:val="25153908"/>
            <w:lock w:val="sdtContentLocked"/>
            <w:placeholder>
              <w:docPart w:val="GBC22222222222222222222222222222"/>
            </w:placeholder>
          </w:sdtPr>
          <w:sdtContent>
            <w:p>
              <w:pPr>
                <w:rPr>
                  <w:color w:val="0000FF"/>
                  <w:highlight w:val="yellow"/>
                  <w:bdr w:val="single" w:color="auto" w:sz="4" w:space="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
        <w:numPr>
          <w:ilvl w:val="0"/>
          <w:numId w:val="2"/>
        </w:numPr>
      </w:pPr>
      <w:bookmarkStart w:id="36" w:name="_Toc392233017"/>
      <w:bookmarkStart w:id="37" w:name="_Toc484510570"/>
      <w:r>
        <w:rPr>
          <w:rFonts w:hint="eastAsia"/>
        </w:rPr>
        <w:t>优先股相关情况</w:t>
      </w:r>
      <w:bookmarkEnd w:id="36"/>
      <w:bookmarkEnd w:id="37"/>
    </w:p>
    <w:sdt>
      <w:sdtPr>
        <w:alias w:val="是否适用：优先股相关情况[双击切换]"/>
        <w:tag w:val="_GBC_2113adbee8464e1c828b3d6d35c60abf"/>
        <w:id w:val="2515391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p>
      <w:pPr>
        <w:pStyle w:val="2"/>
        <w:numPr>
          <w:ilvl w:val="0"/>
          <w:numId w:val="2"/>
        </w:numPr>
      </w:pPr>
      <w:bookmarkStart w:id="38" w:name="_Toc342566003"/>
      <w:bookmarkStart w:id="39" w:name="_Toc484510571"/>
      <w:bookmarkStart w:id="40" w:name="_Toc392233018"/>
      <w:r>
        <w:rPr>
          <w:rFonts w:hint="eastAsia"/>
        </w:rPr>
        <w:t>董事、监事、高级管理人员</w:t>
      </w:r>
      <w:bookmarkEnd w:id="38"/>
      <w:r>
        <w:rPr>
          <w:rFonts w:hint="eastAsia"/>
        </w:rPr>
        <w:t>情况</w:t>
      </w:r>
      <w:bookmarkEnd w:id="39"/>
      <w:bookmarkEnd w:id="40"/>
    </w:p>
    <w:p>
      <w:pPr>
        <w:pStyle w:val="3"/>
        <w:numPr>
          <w:ilvl w:val="0"/>
          <w:numId w:val="31"/>
        </w:numPr>
        <w:spacing w:line="360" w:lineRule="auto"/>
      </w:pPr>
      <w:bookmarkStart w:id="41" w:name="_Toc342057944"/>
      <w:bookmarkStart w:id="42" w:name="_Toc342566004"/>
      <w:r>
        <w:rPr>
          <w:rFonts w:hint="eastAsia"/>
        </w:rPr>
        <w:t>持股变动情况</w:t>
      </w:r>
    </w:p>
    <w:p>
      <w:pPr>
        <w:pStyle w:val="4"/>
        <w:numPr>
          <w:ilvl w:val="2"/>
          <w:numId w:val="32"/>
        </w:numPr>
      </w:pPr>
      <w:r>
        <w:t>现任及报告期内离任董事、监事和高级管理人员持股变动情况</w:t>
      </w:r>
    </w:p>
    <w:sdt>
      <w:sdtPr>
        <w:alias w:val="是否适用：董事、监事和高级管理人员持股变动[双击切换]"/>
        <w:tag w:val="_GBC_e4aa9f89c24b4cbb80c479762adcf568"/>
        <w:id w:val="2515391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bookmarkEnd w:id="41"/>
    <w:bookmarkEnd w:id="42"/>
    <w:p>
      <w:pPr>
        <w:pStyle w:val="4"/>
        <w:numPr>
          <w:ilvl w:val="2"/>
          <w:numId w:val="32"/>
        </w:numPr>
      </w:pPr>
      <w:bookmarkStart w:id="43" w:name="_Toc342566005"/>
      <w:bookmarkStart w:id="44" w:name="_Toc342057945"/>
      <w:r>
        <w:rPr>
          <w:rFonts w:hint="eastAsia"/>
        </w:rPr>
        <w:t>董事、监事、高级管理人员报告期内被授予的股权激励情况</w:t>
      </w:r>
      <w:bookmarkEnd w:id="43"/>
      <w:bookmarkEnd w:id="44"/>
    </w:p>
    <w:p>
      <w:pPr>
        <w:kinsoku w:val="0"/>
        <w:overflowPunct w:val="0"/>
        <w:autoSpaceDE w:val="0"/>
        <w:autoSpaceDN w:val="0"/>
        <w:snapToGrid w:val="0"/>
        <w:rPr>
          <w:color w:val="0000FF"/>
        </w:rPr>
      </w:pPr>
      <w:sdt>
        <w:sdtPr>
          <w:rPr>
            <w:rFonts w:hint="eastAsia"/>
          </w:rPr>
          <w:alias w:val="是否适用：董事、监事、高级管理人员报告期内被授予的股权激励情况[双击切换]"/>
          <w:tag w:val="_GBC_3c204ebee7cf4fc2a7c4a3ad63ffe1c4"/>
          <w:id w:val="25153912"/>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ascii="宋体" w:hAnsi="宋体"/>
          <w:b w:val="0"/>
          <w:bCs w:val="0"/>
          <w:szCs w:val="24"/>
        </w:rPr>
        <w:alias w:val="模块:公司董事、监事、高级管理人员变动情况"/>
        <w:tag w:val="_SEC_fe90051e8bfd40b8bb8541284a29b30e"/>
        <w:id w:val="25153925"/>
        <w:lock w:val="sdtLocked"/>
        <w:placeholder>
          <w:docPart w:val="GBC22222222222222222222222222222"/>
        </w:placeholder>
      </w:sdtPr>
      <w:sdtEndPr>
        <w:rPr>
          <w:rFonts w:hint="eastAsia" w:ascii="宋体" w:hAnsi="宋体"/>
          <w:b w:val="0"/>
          <w:bCs w:val="0"/>
          <w:szCs w:val="21"/>
        </w:rPr>
      </w:sdtEndPr>
      <w:sdtContent>
        <w:p>
          <w:pPr>
            <w:pStyle w:val="3"/>
            <w:numPr>
              <w:ilvl w:val="0"/>
              <w:numId w:val="31"/>
            </w:numPr>
            <w:spacing w:line="360" w:lineRule="auto"/>
          </w:pPr>
          <w:bookmarkStart w:id="45" w:name="_Toc342057949"/>
          <w:bookmarkStart w:id="46" w:name="_Toc342566009"/>
          <w:r>
            <w:rPr>
              <w:rFonts w:hint="eastAsia"/>
            </w:rPr>
            <w:t>公司董事、监事、高级管理人员变动情况</w:t>
          </w:r>
          <w:bookmarkEnd w:id="45"/>
          <w:bookmarkEnd w:id="46"/>
        </w:p>
        <w:sdt>
          <w:sdtPr>
            <w:alias w:val="是否适用：公司董事、监事、高级管理人员变动情况[双击切换]"/>
            <w:tag w:val="_GBC_001d837207464f1aaa52a7fb8cd9d226"/>
            <w:id w:val="2515391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22"/>
            <w:gridCol w:w="3081"/>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d21520223e04755b8822b634d237604"/>
                <w:id w:val="25153914"/>
                <w:lock w:val="sdtLocked"/>
              </w:sdtPr>
              <w:sdtContent>
                <w:tc>
                  <w:tcPr>
                    <w:tcW w:w="2922" w:type="dxa"/>
                    <w:shd w:val="clear" w:color="auto" w:fill="auto"/>
                  </w:tcPr>
                  <w:p>
                    <w:pPr>
                      <w:kinsoku w:val="0"/>
                      <w:overflowPunct w:val="0"/>
                      <w:autoSpaceDE w:val="0"/>
                      <w:autoSpaceDN w:val="0"/>
                      <w:snapToGrid w:val="0"/>
                      <w:jc w:val="center"/>
                    </w:pPr>
                    <w:r>
                      <w:rPr>
                        <w:rFonts w:hint="eastAsia"/>
                      </w:rPr>
                      <w:t>姓名</w:t>
                    </w:r>
                  </w:p>
                </w:tc>
              </w:sdtContent>
            </w:sdt>
            <w:sdt>
              <w:sdtPr>
                <w:tag w:val="_PLD_fbd3bf633b6f43caac5e618a32167462"/>
                <w:id w:val="25153915"/>
                <w:lock w:val="sdtLocked"/>
              </w:sdtPr>
              <w:sdtContent>
                <w:tc>
                  <w:tcPr>
                    <w:tcW w:w="3081" w:type="dxa"/>
                    <w:shd w:val="clear" w:color="auto" w:fill="auto"/>
                  </w:tcPr>
                  <w:p>
                    <w:pPr>
                      <w:kinsoku w:val="0"/>
                      <w:overflowPunct w:val="0"/>
                      <w:autoSpaceDE w:val="0"/>
                      <w:autoSpaceDN w:val="0"/>
                      <w:snapToGrid w:val="0"/>
                      <w:jc w:val="center"/>
                    </w:pPr>
                    <w:r>
                      <w:rPr>
                        <w:rFonts w:hint="eastAsia"/>
                      </w:rPr>
                      <w:t>担任的职务</w:t>
                    </w:r>
                  </w:p>
                </w:tc>
              </w:sdtContent>
            </w:sdt>
            <w:sdt>
              <w:sdtPr>
                <w:tag w:val="_PLD_32b7efb7e5ea42b9a9c73ad4470b3d12"/>
                <w:id w:val="25153916"/>
                <w:lock w:val="sdtLocked"/>
              </w:sdtPr>
              <w:sdtContent>
                <w:tc>
                  <w:tcPr>
                    <w:tcW w:w="2890" w:type="dxa"/>
                    <w:shd w:val="clear" w:color="auto" w:fill="auto"/>
                  </w:tcPr>
                  <w:p>
                    <w:pPr>
                      <w:kinsoku w:val="0"/>
                      <w:overflowPunct w:val="0"/>
                      <w:autoSpaceDE w:val="0"/>
                      <w:autoSpaceDN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2515391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922" w:type="dxa"/>
                  </w:tcPr>
                  <w:p>
                    <w:pPr>
                      <w:kinsoku w:val="0"/>
                      <w:overflowPunct w:val="0"/>
                      <w:autoSpaceDE w:val="0"/>
                      <w:autoSpaceDN w:val="0"/>
                      <w:snapToGrid w:val="0"/>
                    </w:pPr>
                    <w:r>
                      <w:rPr>
                        <w:rFonts w:hint="eastAsia"/>
                      </w:rPr>
                      <w:t>熊小明</w:t>
                    </w:r>
                  </w:p>
                </w:tc>
                <w:tc>
                  <w:tcPr>
                    <w:tcW w:w="3081" w:type="dxa"/>
                  </w:tcPr>
                  <w:p>
                    <w:pPr>
                      <w:kinsoku w:val="0"/>
                      <w:overflowPunct w:val="0"/>
                      <w:autoSpaceDE w:val="0"/>
                      <w:autoSpaceDN w:val="0"/>
                      <w:snapToGrid w:val="0"/>
                    </w:pPr>
                    <w:r>
                      <w:rPr>
                        <w:rFonts w:hint="eastAsia"/>
                      </w:rPr>
                      <w:t>副总经理</w:t>
                    </w:r>
                  </w:p>
                </w:tc>
                <w:sdt>
                  <w:sdtPr>
                    <w:alias w:val="公司董事、监事、高级管理人员的变动情形"/>
                    <w:tag w:val="_GBC_466f24fb36cc4d949be4225fed8d37c7"/>
                    <w:id w:val="25153917"/>
                    <w:lock w:val="sdtLocked"/>
                    <w:comboBox>
                      <w:listItem w:displayText="聘任" w:value="聘任"/>
                      <w:listItem w:displayText="离任" w:value="离任"/>
                      <w:listItem w:displayText="解任" w:value="解任"/>
                      <w:listItem w:displayText="选举" w:value="选举"/>
                    </w:comboBox>
                  </w:sdtPr>
                  <w:sdtContent>
                    <w:tc>
                      <w:tcPr>
                        <w:tcW w:w="2890" w:type="dxa"/>
                      </w:tcPr>
                      <w:p>
                        <w:pPr>
                          <w:kinsoku w:val="0"/>
                          <w:overflowPunct w:val="0"/>
                          <w:autoSpaceDE w:val="0"/>
                          <w:autoSpaceDN w:val="0"/>
                          <w:snapToGrid w:val="0"/>
                          <w:rPr>
                            <w:color w:val="FFC000"/>
                          </w:rPr>
                        </w:pPr>
                        <w:r>
                          <w:t>解任</w:t>
                        </w:r>
                      </w:p>
                    </w:tc>
                  </w:sdtContent>
                </w:sdt>
              </w:tr>
            </w:sdtContent>
          </w:sdt>
          <w:sdt>
            <w:sdtPr>
              <w:rPr>
                <w:rFonts w:hint="eastAsia"/>
              </w:rPr>
              <w:alias w:val="在报告期内公司董事、监事、高级管理人员变动情况"/>
              <w:tag w:val="_GBC_f8245c93a5574f05bb6e0a400a7c4f3b"/>
              <w:id w:val="2515392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922" w:type="dxa"/>
                  </w:tcPr>
                  <w:p>
                    <w:pPr>
                      <w:kinsoku w:val="0"/>
                      <w:overflowPunct w:val="0"/>
                      <w:autoSpaceDE w:val="0"/>
                      <w:autoSpaceDN w:val="0"/>
                      <w:snapToGrid w:val="0"/>
                    </w:pPr>
                    <w:r>
                      <w:rPr>
                        <w:rFonts w:hint="eastAsia"/>
                      </w:rPr>
                      <w:t>杜忠军</w:t>
                    </w:r>
                  </w:p>
                </w:tc>
                <w:tc>
                  <w:tcPr>
                    <w:tcW w:w="3081" w:type="dxa"/>
                  </w:tcPr>
                  <w:p>
                    <w:pPr>
                      <w:kinsoku w:val="0"/>
                      <w:overflowPunct w:val="0"/>
                      <w:autoSpaceDE w:val="0"/>
                      <w:autoSpaceDN w:val="0"/>
                      <w:snapToGrid w:val="0"/>
                    </w:pPr>
                    <w:r>
                      <w:rPr>
                        <w:rFonts w:hint="eastAsia"/>
                      </w:rPr>
                      <w:t>总会计师</w:t>
                    </w:r>
                  </w:p>
                </w:tc>
                <w:sdt>
                  <w:sdtPr>
                    <w:alias w:val="公司董事、监事、高级管理人员的变动情形"/>
                    <w:tag w:val="_GBC_466f24fb36cc4d949be4225fed8d37c7"/>
                    <w:id w:val="25153919"/>
                    <w:lock w:val="sdtLocked"/>
                    <w:comboBox>
                      <w:listItem w:displayText="聘任" w:value="聘任"/>
                      <w:listItem w:displayText="离任" w:value="离任"/>
                      <w:listItem w:displayText="解任" w:value="解任"/>
                      <w:listItem w:displayText="选举" w:value="选举"/>
                    </w:comboBox>
                  </w:sdtPr>
                  <w:sdtContent>
                    <w:tc>
                      <w:tcPr>
                        <w:tcW w:w="2890" w:type="dxa"/>
                      </w:tcPr>
                      <w:p>
                        <w:pPr>
                          <w:kinsoku w:val="0"/>
                          <w:overflowPunct w:val="0"/>
                          <w:autoSpaceDE w:val="0"/>
                          <w:autoSpaceDN w:val="0"/>
                          <w:snapToGrid w:val="0"/>
                        </w:pPr>
                        <w:r>
                          <w:t>解任</w:t>
                        </w:r>
                      </w:p>
                    </w:tc>
                  </w:sdtContent>
                </w:sdt>
              </w:tr>
            </w:sdtContent>
          </w:sdt>
          <w:sdt>
            <w:sdtPr>
              <w:rPr>
                <w:rFonts w:hint="eastAsia"/>
              </w:rPr>
              <w:alias w:val="在报告期内公司董事、监事、高级管理人员变动情况"/>
              <w:tag w:val="_GBC_f8245c93a5574f05bb6e0a400a7c4f3b"/>
              <w:id w:val="2515392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922" w:type="dxa"/>
                  </w:tcPr>
                  <w:p>
                    <w:pPr>
                      <w:kinsoku w:val="0"/>
                      <w:overflowPunct w:val="0"/>
                      <w:autoSpaceDE w:val="0"/>
                      <w:autoSpaceDN w:val="0"/>
                      <w:snapToGrid w:val="0"/>
                    </w:pPr>
                    <w:r>
                      <w:rPr>
                        <w:rFonts w:hint="eastAsia"/>
                      </w:rPr>
                      <w:t>张卫权</w:t>
                    </w:r>
                  </w:p>
                </w:tc>
                <w:tc>
                  <w:tcPr>
                    <w:tcW w:w="3081" w:type="dxa"/>
                  </w:tcPr>
                  <w:p>
                    <w:pPr>
                      <w:kinsoku w:val="0"/>
                      <w:overflowPunct w:val="0"/>
                      <w:autoSpaceDE w:val="0"/>
                      <w:autoSpaceDN w:val="0"/>
                      <w:snapToGrid w:val="0"/>
                    </w:pPr>
                    <w:r>
                      <w:rPr>
                        <w:rFonts w:hint="eastAsia"/>
                      </w:rPr>
                      <w:t>副总经理</w:t>
                    </w:r>
                  </w:p>
                </w:tc>
                <w:sdt>
                  <w:sdtPr>
                    <w:alias w:val="公司董事、监事、高级管理人员的变动情形"/>
                    <w:tag w:val="_GBC_466f24fb36cc4d949be4225fed8d37c7"/>
                    <w:id w:val="25153921"/>
                    <w:lock w:val="sdtLocked"/>
                    <w:comboBox>
                      <w:listItem w:displayText="聘任" w:value="聘任"/>
                      <w:listItem w:displayText="离任" w:value="离任"/>
                      <w:listItem w:displayText="解任" w:value="解任"/>
                      <w:listItem w:displayText="选举" w:value="选举"/>
                    </w:comboBox>
                  </w:sdtPr>
                  <w:sdtContent>
                    <w:tc>
                      <w:tcPr>
                        <w:tcW w:w="2890" w:type="dxa"/>
                      </w:tcPr>
                      <w:p>
                        <w:pPr>
                          <w:kinsoku w:val="0"/>
                          <w:overflowPunct w:val="0"/>
                          <w:autoSpaceDE w:val="0"/>
                          <w:autoSpaceDN w:val="0"/>
                          <w:snapToGrid w:val="0"/>
                        </w:pPr>
                        <w:r>
                          <w:t>聘任</w:t>
                        </w:r>
                      </w:p>
                    </w:tc>
                  </w:sdtContent>
                </w:sdt>
              </w:tr>
            </w:sdtContent>
          </w:sdt>
          <w:sdt>
            <w:sdtPr>
              <w:rPr>
                <w:rFonts w:hint="eastAsia"/>
              </w:rPr>
              <w:alias w:val="在报告期内公司董事、监事、高级管理人员变动情况"/>
              <w:tag w:val="_GBC_f8245c93a5574f05bb6e0a400a7c4f3b"/>
              <w:id w:val="2515392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922" w:type="dxa"/>
                  </w:tcPr>
                  <w:p>
                    <w:pPr>
                      <w:kinsoku w:val="0"/>
                      <w:overflowPunct w:val="0"/>
                      <w:autoSpaceDE w:val="0"/>
                      <w:autoSpaceDN w:val="0"/>
                      <w:snapToGrid w:val="0"/>
                    </w:pPr>
                    <w:r>
                      <w:rPr>
                        <w:rFonts w:hint="eastAsia"/>
                      </w:rPr>
                      <w:t>王海英</w:t>
                    </w:r>
                  </w:p>
                </w:tc>
                <w:tc>
                  <w:tcPr>
                    <w:tcW w:w="3081" w:type="dxa"/>
                  </w:tcPr>
                  <w:p>
                    <w:pPr>
                      <w:kinsoku w:val="0"/>
                      <w:overflowPunct w:val="0"/>
                      <w:autoSpaceDE w:val="0"/>
                      <w:autoSpaceDN w:val="0"/>
                      <w:snapToGrid w:val="0"/>
                    </w:pPr>
                    <w:r>
                      <w:rPr>
                        <w:rFonts w:hint="eastAsia"/>
                      </w:rPr>
                      <w:t>总会计师</w:t>
                    </w:r>
                  </w:p>
                </w:tc>
                <w:sdt>
                  <w:sdtPr>
                    <w:alias w:val="公司董事、监事、高级管理人员的变动情形"/>
                    <w:tag w:val="_GBC_466f24fb36cc4d949be4225fed8d37c7"/>
                    <w:id w:val="25153923"/>
                    <w:lock w:val="sdtLocked"/>
                    <w:comboBox>
                      <w:listItem w:displayText="聘任" w:value="聘任"/>
                      <w:listItem w:displayText="离任" w:value="离任"/>
                      <w:listItem w:displayText="解任" w:value="解任"/>
                      <w:listItem w:displayText="选举" w:value="选举"/>
                    </w:comboBox>
                  </w:sdtPr>
                  <w:sdtContent>
                    <w:tc>
                      <w:tcPr>
                        <w:tcW w:w="2890" w:type="dxa"/>
                      </w:tcPr>
                      <w:p>
                        <w:pPr>
                          <w:kinsoku w:val="0"/>
                          <w:overflowPunct w:val="0"/>
                          <w:autoSpaceDE w:val="0"/>
                          <w:autoSpaceDN w:val="0"/>
                          <w:snapToGrid w:val="0"/>
                          <w:rPr>
                            <w:color w:val="FFC000"/>
                          </w:rPr>
                        </w:pPr>
                        <w:r>
                          <w:t>聘任</w:t>
                        </w:r>
                      </w:p>
                    </w:tc>
                  </w:sdtContent>
                </w:sdt>
              </w:tr>
            </w:sdtContent>
          </w:sdt>
        </w:tbl>
        <w:p>
          <w:pPr>
            <w:pStyle w:val="76"/>
          </w:pPr>
        </w:p>
        <w:p>
          <w:pPr>
            <w:pStyle w:val="76"/>
          </w:pPr>
        </w:p>
      </w:sdtContent>
    </w:sdt>
    <w:sdt>
      <w:sdtPr>
        <w:rPr>
          <w:rFonts w:hint="eastAsia"/>
        </w:rPr>
        <w:alias w:val="模块:公司董事、监事、高级管理人员变动的情况说明"/>
        <w:tag w:val="_SEC_9d764ab9e1c44e0e972e846b8ecf0813"/>
        <w:id w:val="25153928"/>
        <w:lock w:val="sdtLocked"/>
        <w:placeholder>
          <w:docPart w:val="GBC22222222222222222222222222222"/>
        </w:placeholder>
      </w:sdtPr>
      <w:sdtEndPr>
        <w:rPr>
          <w:rFonts w:hint="eastAsia"/>
        </w:rPr>
      </w:sdtEndPr>
      <w:sdtContent>
        <w:p>
          <w:pPr>
            <w:pStyle w:val="76"/>
          </w:pPr>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25153926"/>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25153927"/>
            <w:lock w:val="sdtLocked"/>
            <w:placeholder>
              <w:docPart w:val="GBC22222222222222222222222222222"/>
            </w:placeholder>
          </w:sdtPr>
          <w:sdtEndPr>
            <w:rPr>
              <w:rFonts w:hint="eastAsia"/>
            </w:rPr>
          </w:sdtEndPr>
          <w:sdtContent>
            <w:p>
              <w:pPr>
                <w:pStyle w:val="76"/>
              </w:pPr>
              <w:r>
                <w:rPr>
                  <w:rFonts w:hint="eastAsia"/>
                </w:rPr>
                <w:t xml:space="preserve">    2018年5月21日，公司第七届董事会第一次会议，审议通过了聘任第七届公司高级管理人员的议案（详见公告2018-031）。副总经理熊小明、总会计师杜忠军因工作关系不再连任，同时，聘任张卫权为公司副总经理，王海英为公司总会计师。</w:t>
              </w:r>
            </w:p>
            <w:p>
              <w:pPr>
                <w:pStyle w:val="76"/>
              </w:pPr>
            </w:p>
          </w:sdtContent>
        </w:sdt>
      </w:sdtContent>
    </w:sdt>
    <w:p>
      <w:pPr>
        <w:pStyle w:val="76"/>
      </w:pPr>
    </w:p>
    <w:sdt>
      <w:sdtPr>
        <w:rPr>
          <w:rFonts w:hint="eastAsia" w:ascii="宋体" w:hAnsi="宋体"/>
          <w:b w:val="0"/>
          <w:bCs w:val="0"/>
          <w:szCs w:val="24"/>
        </w:rPr>
        <w:alias w:val="模块:其他董事、监事、高级管理人员和员工情况"/>
        <w:tag w:val="_SEC_a1a4d90699494886b231030a7c17645b"/>
        <w:id w:val="25153930"/>
        <w:lock w:val="sdtLocked"/>
        <w:placeholder>
          <w:docPart w:val="GBC22222222222222222222222222222"/>
        </w:placeholder>
      </w:sdtPr>
      <w:sdtEndPr>
        <w:rPr>
          <w:rFonts w:hint="default" w:ascii="宋体" w:hAnsi="宋体"/>
          <w:b w:val="0"/>
          <w:bCs w:val="0"/>
          <w:szCs w:val="21"/>
        </w:rPr>
      </w:sdtEndPr>
      <w:sdtContent>
        <w:p>
          <w:pPr>
            <w:pStyle w:val="3"/>
            <w:numPr>
              <w:ilvl w:val="0"/>
              <w:numId w:val="31"/>
            </w:numPr>
            <w:spacing w:line="360" w:lineRule="auto"/>
          </w:pPr>
          <w:r>
            <w:rPr>
              <w:rFonts w:hint="eastAsia"/>
            </w:rPr>
            <w:t>其他说明</w:t>
          </w:r>
        </w:p>
        <w:sdt>
          <w:sdtPr>
            <w:alias w:val="是否适用：其他董事、监事、高级管理人员情况说明[双击切换]"/>
            <w:tag w:val="_GBC_8e7eb434c4c34c1b86cdb9f39b70c323"/>
            <w:id w:val="2515392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spacing w:line="360" w:lineRule="exact"/>
        <w:ind w:right="5"/>
      </w:pPr>
      <w:r>
        <w:br w:type="page"/>
      </w:r>
    </w:p>
    <w:p>
      <w:pPr>
        <w:pStyle w:val="2"/>
        <w:numPr>
          <w:ilvl w:val="0"/>
          <w:numId w:val="2"/>
        </w:numPr>
        <w:rPr>
          <w:bCs w:val="0"/>
          <w:szCs w:val="28"/>
        </w:rPr>
      </w:pPr>
      <w:bookmarkStart w:id="47" w:name="_Toc437440717"/>
      <w:bookmarkStart w:id="48" w:name="_Toc484510572"/>
      <w:bookmarkStart w:id="49" w:name="_Toc438111012"/>
      <w:r>
        <w:rPr>
          <w:rFonts w:hint="eastAsia"/>
          <w:bCs w:val="0"/>
          <w:szCs w:val="28"/>
        </w:rPr>
        <w:t>公司债券相关情况</w:t>
      </w:r>
      <w:bookmarkEnd w:id="47"/>
      <w:bookmarkEnd w:id="48"/>
      <w:bookmarkEnd w:id="49"/>
    </w:p>
    <w:sdt>
      <w:sdtPr>
        <w:alias w:val="是否适用：公司债券相关情况[双击切换]"/>
        <w:tag w:val="_GBC_0aefba4fc6d84d32a7c7d372906dfb2e"/>
        <w:id w:val="25153931"/>
        <w:lock w:val="sdtContentLocked"/>
        <w:placeholder>
          <w:docPart w:val="GBC22222222222222222222222222222"/>
        </w:placeholder>
      </w:sdtPr>
      <w:sdtContent>
        <w:p>
          <w:pPr>
            <w:pStyle w:val="76"/>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rFonts w:hint="eastAsia" w:ascii="宋体" w:hAnsi="宋体"/>
          <w:b w:val="0"/>
          <w:bCs w:val="0"/>
          <w:szCs w:val="24"/>
        </w:rPr>
        <w:alias w:val="模块:公司债券基本情况"/>
        <w:tag w:val="_SEC_916f9ad387a249008901edd493e9a3f0"/>
        <w:id w:val="25153947"/>
        <w:lock w:val="sdtLocked"/>
        <w:placeholder>
          <w:docPart w:val="GBC22222222222222222222222222222"/>
        </w:placeholder>
      </w:sdtPr>
      <w:sdtEndPr>
        <w:rPr>
          <w:rFonts w:hint="eastAsia" w:ascii="宋体" w:hAnsi="宋体"/>
          <w:b w:val="0"/>
          <w:bCs w:val="0"/>
          <w:szCs w:val="21"/>
        </w:rPr>
      </w:sdtEndPr>
      <w:sdtContent>
        <w:p>
          <w:pPr>
            <w:pStyle w:val="3"/>
            <w:numPr>
              <w:ilvl w:val="0"/>
              <w:numId w:val="33"/>
            </w:numPr>
          </w:pPr>
          <w:r>
            <w:rPr>
              <w:rFonts w:hint="eastAsia"/>
            </w:rPr>
            <w:t>公司债券基本情况</w:t>
          </w:r>
        </w:p>
        <w:p>
          <w:pPr>
            <w:jc w:val="right"/>
          </w:pPr>
          <w:r>
            <w:rPr>
              <w:rFonts w:hint="eastAsia"/>
            </w:rPr>
            <w:t>单位</w:t>
          </w:r>
          <w:r>
            <w:t>:</w:t>
          </w:r>
          <w:sdt>
            <w:sdtPr>
              <w:alias w:val="单位：财务附注：公司债券基本情况"/>
              <w:tag w:val="_GBC_bd658d77218145d782a67ef68bab687b"/>
              <w:id w:val="251539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万元</w:t>
              </w:r>
            </w:sdtContent>
          </w:sdt>
          <w:r>
            <w:rPr>
              <w:rFonts w:hint="eastAsia"/>
            </w:rPr>
            <w:t xml:space="preserve">  币种</w:t>
          </w:r>
          <w:r>
            <w:t>:</w:t>
          </w:r>
          <w:sdt>
            <w:sdtPr>
              <w:alias w:val="币种：财务附注：公司债券基本情况"/>
              <w:tag w:val="_GBC_99178ae7acc84ea696b56df7822a8594"/>
              <w:id w:val="251539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4"/>
            <w:gridCol w:w="974"/>
            <w:gridCol w:w="1068"/>
            <w:gridCol w:w="1068"/>
            <w:gridCol w:w="1068"/>
            <w:gridCol w:w="975"/>
            <w:gridCol w:w="97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e9ae463d25e492ca21fbb706dc69510"/>
                <w:id w:val="25153934"/>
                <w:lock w:val="sdtLocked"/>
              </w:sdtPr>
              <w:sdtContent>
                <w:tc>
                  <w:tcPr>
                    <w:tcW w:w="973" w:type="dxa"/>
                    <w:vAlign w:val="center"/>
                  </w:tcPr>
                  <w:p>
                    <w:pPr>
                      <w:jc w:val="center"/>
                      <w:rPr>
                        <w:rFonts w:ascii="Arial" w:hAnsi="Arial"/>
                        <w:b/>
                        <w:bCs/>
                      </w:rPr>
                    </w:pPr>
                    <w:r>
                      <w:rPr>
                        <w:rFonts w:hint="eastAsia"/>
                      </w:rPr>
                      <w:t>债券名称</w:t>
                    </w:r>
                  </w:p>
                </w:tc>
              </w:sdtContent>
            </w:sdt>
            <w:sdt>
              <w:sdtPr>
                <w:tag w:val="_PLD_7cfab760046e4722b30a3d9d7139915a"/>
                <w:id w:val="25153935"/>
                <w:lock w:val="sdtLocked"/>
              </w:sdtPr>
              <w:sdtContent>
                <w:tc>
                  <w:tcPr>
                    <w:tcW w:w="974" w:type="dxa"/>
                    <w:vAlign w:val="center"/>
                  </w:tcPr>
                  <w:p>
                    <w:pPr>
                      <w:jc w:val="center"/>
                    </w:pPr>
                    <w:r>
                      <w:rPr>
                        <w:rFonts w:hint="eastAsia"/>
                      </w:rPr>
                      <w:t>简称</w:t>
                    </w:r>
                  </w:p>
                </w:tc>
              </w:sdtContent>
            </w:sdt>
            <w:sdt>
              <w:sdtPr>
                <w:tag w:val="_PLD_158dc23ab6eb449eb1af98db4f76a461"/>
                <w:id w:val="25153936"/>
                <w:lock w:val="sdtLocked"/>
              </w:sdtPr>
              <w:sdtContent>
                <w:tc>
                  <w:tcPr>
                    <w:tcW w:w="974" w:type="dxa"/>
                    <w:vAlign w:val="center"/>
                  </w:tcPr>
                  <w:p>
                    <w:pPr>
                      <w:jc w:val="center"/>
                    </w:pPr>
                    <w:r>
                      <w:rPr>
                        <w:rFonts w:hint="eastAsia"/>
                      </w:rPr>
                      <w:t>代码</w:t>
                    </w:r>
                  </w:p>
                </w:tc>
              </w:sdtContent>
            </w:sdt>
            <w:sdt>
              <w:sdtPr>
                <w:tag w:val="_PLD_0786059317ff458e8abe297727e93701"/>
                <w:id w:val="25153937"/>
                <w:lock w:val="sdtLocked"/>
              </w:sdtPr>
              <w:sdtContent>
                <w:tc>
                  <w:tcPr>
                    <w:tcW w:w="1068" w:type="dxa"/>
                    <w:vAlign w:val="center"/>
                  </w:tcPr>
                  <w:p>
                    <w:pPr>
                      <w:jc w:val="center"/>
                    </w:pPr>
                    <w:r>
                      <w:rPr>
                        <w:rFonts w:hint="eastAsia"/>
                      </w:rPr>
                      <w:t>发行日</w:t>
                    </w:r>
                  </w:p>
                </w:tc>
              </w:sdtContent>
            </w:sdt>
            <w:sdt>
              <w:sdtPr>
                <w:tag w:val="_PLD_73414814a5554ab9a3b2f77ed7981a78"/>
                <w:id w:val="25153938"/>
                <w:lock w:val="sdtLocked"/>
              </w:sdtPr>
              <w:sdtContent>
                <w:tc>
                  <w:tcPr>
                    <w:tcW w:w="1068" w:type="dxa"/>
                    <w:vAlign w:val="center"/>
                  </w:tcPr>
                  <w:p>
                    <w:pPr>
                      <w:jc w:val="center"/>
                    </w:pPr>
                    <w:r>
                      <w:rPr>
                        <w:rFonts w:hint="eastAsia"/>
                      </w:rPr>
                      <w:t>到期日</w:t>
                    </w:r>
                  </w:p>
                </w:tc>
              </w:sdtContent>
            </w:sdt>
            <w:sdt>
              <w:sdtPr>
                <w:tag w:val="_PLD_5e1a5c514ba44564b503b46180ef32f6"/>
                <w:id w:val="25153939"/>
                <w:lock w:val="sdtLocked"/>
              </w:sdtPr>
              <w:sdtContent>
                <w:tc>
                  <w:tcPr>
                    <w:tcW w:w="1068" w:type="dxa"/>
                    <w:vAlign w:val="center"/>
                  </w:tcPr>
                  <w:p>
                    <w:pPr>
                      <w:jc w:val="center"/>
                    </w:pPr>
                    <w:r>
                      <w:rPr>
                        <w:rFonts w:hint="eastAsia"/>
                      </w:rPr>
                      <w:t>债券余额</w:t>
                    </w:r>
                  </w:p>
                </w:tc>
              </w:sdtContent>
            </w:sdt>
            <w:sdt>
              <w:sdtPr>
                <w:tag w:val="_PLD_dad6727aad3e47e9a90174643bbb9999"/>
                <w:id w:val="25153940"/>
                <w:lock w:val="sdtLocked"/>
              </w:sdtPr>
              <w:sdtContent>
                <w:tc>
                  <w:tcPr>
                    <w:tcW w:w="975" w:type="dxa"/>
                    <w:vAlign w:val="center"/>
                  </w:tcPr>
                  <w:p>
                    <w:pPr>
                      <w:jc w:val="center"/>
                    </w:pPr>
                    <w:r>
                      <w:rPr>
                        <w:rFonts w:hint="eastAsia"/>
                      </w:rPr>
                      <w:t>利率（%）</w:t>
                    </w:r>
                  </w:p>
                </w:tc>
              </w:sdtContent>
            </w:sdt>
            <w:sdt>
              <w:sdtPr>
                <w:tag w:val="_PLD_0dc08131a697459984a729607a3f1745"/>
                <w:id w:val="25153941"/>
                <w:lock w:val="sdtLocked"/>
              </w:sdtPr>
              <w:sdtContent>
                <w:tc>
                  <w:tcPr>
                    <w:tcW w:w="975" w:type="dxa"/>
                    <w:vAlign w:val="center"/>
                  </w:tcPr>
                  <w:p>
                    <w:pPr>
                      <w:jc w:val="center"/>
                    </w:pPr>
                    <w:r>
                      <w:rPr>
                        <w:rFonts w:hint="eastAsia"/>
                      </w:rPr>
                      <w:t>还本付息方式</w:t>
                    </w:r>
                  </w:p>
                </w:tc>
              </w:sdtContent>
            </w:sdt>
            <w:sdt>
              <w:sdtPr>
                <w:tag w:val="_PLD_a52870a0bed34b6f81618fdbf439c3e2"/>
                <w:id w:val="25153942"/>
                <w:lock w:val="sdtLocked"/>
              </w:sdtPr>
              <w:sdtContent>
                <w:tc>
                  <w:tcPr>
                    <w:tcW w:w="974" w:type="dxa"/>
                    <w:vAlign w:val="center"/>
                  </w:tcPr>
                  <w:p>
                    <w:pPr>
                      <w:jc w:val="center"/>
                    </w:pPr>
                    <w:r>
                      <w:rPr>
                        <w:rFonts w:hint="eastAsia"/>
                      </w:rPr>
                      <w:t>交易场所</w:t>
                    </w:r>
                  </w:p>
                </w:tc>
              </w:sdtContent>
            </w:sdt>
          </w:tr>
          <w:sdt>
            <w:sdtPr>
              <w:rPr>
                <w:rFonts w:hint="eastAsia"/>
              </w:rPr>
              <w:alias w:val="公司债券基本情况明细"/>
              <w:tag w:val="_TUP_f9a2be8b4d794140bf70d041ece6adeb"/>
              <w:id w:val="2515394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tcPr>
                  <w:p>
                    <w:pPr>
                      <w:pStyle w:val="76"/>
                    </w:pPr>
                    <w:r>
                      <w:t>2011年柳州钢铁股份有限公司公司债券</w:t>
                    </w:r>
                  </w:p>
                </w:tc>
                <w:tc>
                  <w:tcPr>
                    <w:tcW w:w="974" w:type="dxa"/>
                  </w:tcPr>
                  <w:p>
                    <w:pPr>
                      <w:pStyle w:val="76"/>
                    </w:pPr>
                    <w:r>
                      <w:t>11柳钢债</w:t>
                    </w:r>
                  </w:p>
                </w:tc>
                <w:tc>
                  <w:tcPr>
                    <w:tcW w:w="974" w:type="dxa"/>
                  </w:tcPr>
                  <w:p>
                    <w:pPr>
                      <w:pStyle w:val="76"/>
                    </w:pPr>
                    <w:r>
                      <w:t>122075</w:t>
                    </w:r>
                  </w:p>
                </w:tc>
                <w:tc>
                  <w:tcPr>
                    <w:tcW w:w="1068" w:type="dxa"/>
                  </w:tcPr>
                  <w:p>
                    <w:pPr>
                      <w:pStyle w:val="76"/>
                    </w:pPr>
                    <w:r>
                      <w:t>2011.6.1</w:t>
                    </w:r>
                  </w:p>
                </w:tc>
                <w:tc>
                  <w:tcPr>
                    <w:tcW w:w="1068" w:type="dxa"/>
                  </w:tcPr>
                  <w:p>
                    <w:pPr>
                      <w:pStyle w:val="76"/>
                    </w:pPr>
                    <w:r>
                      <w:t>2019.6.1</w:t>
                    </w:r>
                  </w:p>
                </w:tc>
                <w:tc>
                  <w:tcPr>
                    <w:tcW w:w="1068" w:type="dxa"/>
                  </w:tcPr>
                  <w:p>
                    <w:pPr>
                      <w:pStyle w:val="76"/>
                    </w:pPr>
                    <w:r>
                      <w:t>42,554.2</w:t>
                    </w:r>
                  </w:p>
                </w:tc>
                <w:tc>
                  <w:tcPr>
                    <w:tcW w:w="975" w:type="dxa"/>
                  </w:tcPr>
                  <w:p>
                    <w:pPr>
                      <w:pStyle w:val="76"/>
                    </w:pPr>
                    <w:r>
                      <w:t>5.70%</w:t>
                    </w:r>
                  </w:p>
                </w:tc>
                <w:tc>
                  <w:tcPr>
                    <w:tcW w:w="975" w:type="dxa"/>
                  </w:tcPr>
                  <w:p>
                    <w:pPr>
                      <w:pStyle w:val="76"/>
                    </w:pPr>
                    <w:r>
                      <w:t>到期一次还本；单利按年付息</w:t>
                    </w:r>
                  </w:p>
                </w:tc>
                <w:tc>
                  <w:tcPr>
                    <w:tcW w:w="974" w:type="dxa"/>
                  </w:tcPr>
                  <w:p>
                    <w:pPr>
                      <w:pStyle w:val="76"/>
                    </w:pPr>
                    <w:r>
                      <w:t>上海证券交易所</w:t>
                    </w:r>
                  </w:p>
                </w:tc>
              </w:tr>
            </w:sdtContent>
          </w:sdt>
        </w:tbl>
        <w:p>
          <w:pPr>
            <w:pStyle w:val="76"/>
          </w:pPr>
        </w:p>
        <w:p>
          <w:pPr>
            <w:rPr>
              <w:rFonts w:ascii="Arial" w:hAnsi="Arial"/>
              <w:bCs/>
            </w:rPr>
          </w:pPr>
          <w:r>
            <w:rPr>
              <w:rFonts w:hint="eastAsia" w:ascii="Arial" w:hAnsi="Arial"/>
              <w:bCs/>
            </w:rPr>
            <w:t>公司债券付息兑付情况</w:t>
          </w:r>
        </w:p>
        <w:sdt>
          <w:sdtPr>
            <w:rPr>
              <w:rFonts w:hint="eastAsia" w:ascii="Arial" w:hAnsi="Arial"/>
              <w:b/>
              <w:bCs/>
            </w:rPr>
            <w:alias w:val="是否适用：公司债券付息兑付情况 [双击切换]"/>
            <w:tag w:val="_GBC_dd4f4b9e197e44239234c79649606a19"/>
            <w:id w:val="25153944"/>
            <w:lock w:val="sdtContentLocked"/>
            <w:placeholder>
              <w:docPart w:val="GBC22222222222222222222222222222"/>
            </w:placeholder>
          </w:sdtPr>
          <w:sdtEndPr>
            <w:rPr>
              <w:rFonts w:hint="eastAsia" w:asciiTheme="minorEastAsia" w:hAnsiTheme="minorEastAsia" w:eastAsiaTheme="minorEastAsia"/>
              <w:b w:val="0"/>
              <w:bCs/>
            </w:rPr>
          </w:sdtEndPr>
          <w:sdtContent>
            <w:p>
              <w:pPr>
                <w:rPr>
                  <w:rFonts w:asciiTheme="minorEastAsia" w:hAnsiTheme="minorEastAsia" w:eastAsiaTheme="minorEastAsia"/>
                  <w:bCs/>
                </w:rPr>
              </w:pPr>
              <w:r>
                <w:rPr>
                  <w:rFonts w:asciiTheme="minorEastAsia" w:hAnsiTheme="minorEastAsia" w:eastAsiaTheme="minorEastAsia"/>
                  <w:bCs/>
                </w:rPr>
                <w:fldChar w:fldCharType="begin"/>
              </w:r>
              <w:r>
                <w:rPr>
                  <w:rFonts w:asciiTheme="minorEastAsia" w:hAnsiTheme="minorEastAsia" w:eastAsiaTheme="minorEastAsia"/>
                  <w:bCs/>
                </w:rPr>
                <w:instrText xml:space="preserve"> MACROBUTTON  SnrToggleCheckbox √适用 </w:instrText>
              </w:r>
              <w:r>
                <w:rPr>
                  <w:rFonts w:asciiTheme="minorEastAsia" w:hAnsiTheme="minorEastAsia" w:eastAsiaTheme="minorEastAsia"/>
                  <w:bCs/>
                </w:rPr>
                <w:fldChar w:fldCharType="end"/>
              </w:r>
              <w:r>
                <w:rPr>
                  <w:rFonts w:asciiTheme="minorEastAsia" w:hAnsiTheme="minorEastAsia" w:eastAsiaTheme="minorEastAsia"/>
                  <w:bCs/>
                </w:rPr>
                <w:fldChar w:fldCharType="begin"/>
              </w:r>
              <w:r>
                <w:rPr>
                  <w:rFonts w:asciiTheme="minorEastAsia" w:hAnsiTheme="minorEastAsia" w:eastAsiaTheme="minorEastAsia"/>
                  <w:bCs/>
                </w:rPr>
                <w:instrText xml:space="preserve"> MACROBUTTON  SnrToggleCheckbox □不适用 </w:instrText>
              </w:r>
              <w:r>
                <w:rPr>
                  <w:rFonts w:asciiTheme="minorEastAsia" w:hAnsiTheme="minorEastAsia" w:eastAsiaTheme="minorEastAsia"/>
                  <w:bCs/>
                </w:rPr>
                <w:fldChar w:fldCharType="end"/>
              </w:r>
            </w:p>
          </w:sdtContent>
        </w:sdt>
        <w:sdt>
          <w:sdtPr>
            <w:rPr>
              <w:rFonts w:asciiTheme="minorEastAsia" w:hAnsiTheme="minorEastAsia" w:eastAsiaTheme="minorEastAsia"/>
              <w:bCs/>
              <w:szCs w:val="21"/>
            </w:rPr>
            <w:alias w:val="公司债券付息兑付情况"/>
            <w:tag w:val="_GBC_0386bb738cb54d99981ab32305628f2b"/>
            <w:id w:val="25153945"/>
            <w:lock w:val="sdtLocked"/>
            <w:placeholder>
              <w:docPart w:val="GBC22222222222222222222222222222"/>
            </w:placeholder>
          </w:sdtPr>
          <w:sdtEndPr>
            <w:rPr>
              <w:rFonts w:asciiTheme="minorEastAsia" w:hAnsiTheme="minorEastAsia" w:eastAsiaTheme="minorEastAsia"/>
              <w:bCs/>
              <w:szCs w:val="21"/>
            </w:rPr>
          </w:sdtEndPr>
          <w:sdtContent>
            <w:p>
              <w:pPr>
                <w:pStyle w:val="76"/>
              </w:pPr>
              <w:r>
                <w:rPr>
                  <w:rFonts w:ascii="Arial" w:hAnsi="Arial" w:cs="Times New Roman"/>
                  <w:kern w:val="2"/>
                </w:rPr>
                <w:t>201</w:t>
              </w:r>
              <w:r>
                <w:rPr>
                  <w:rFonts w:hint="eastAsia" w:ascii="Arial" w:hAnsi="Arial" w:cs="Times New Roman"/>
                  <w:kern w:val="2"/>
                </w:rPr>
                <w:t>8</w:t>
              </w:r>
              <w:r>
                <w:rPr>
                  <w:rFonts w:hint="eastAsia" w:cs="Times New Roman"/>
                  <w:kern w:val="2"/>
                </w:rPr>
                <w:t>年</w:t>
              </w:r>
              <w:r>
                <w:rPr>
                  <w:rFonts w:hint="eastAsia" w:ascii="Arial" w:hAnsi="Arial" w:cs="Times New Roman"/>
                  <w:kern w:val="2"/>
                </w:rPr>
                <w:t>6</w:t>
              </w:r>
              <w:r>
                <w:rPr>
                  <w:rFonts w:hint="eastAsia" w:cs="Times New Roman"/>
                  <w:kern w:val="2"/>
                </w:rPr>
                <w:t>月</w:t>
              </w:r>
              <w:r>
                <w:rPr>
                  <w:rFonts w:hint="eastAsia" w:ascii="Arial" w:hAnsi="Arial" w:cs="Times New Roman"/>
                  <w:kern w:val="2"/>
                </w:rPr>
                <w:t>1</w:t>
              </w:r>
              <w:r>
                <w:rPr>
                  <w:rFonts w:hint="eastAsia" w:cs="Times New Roman"/>
                  <w:kern w:val="2"/>
                </w:rPr>
                <w:t>日，公司向全体</w:t>
              </w:r>
              <w:r>
                <w:rPr>
                  <w:rFonts w:hint="eastAsia" w:ascii="Arial" w:hAnsi="Arial" w:cs="Times New Roman"/>
                  <w:kern w:val="2"/>
                </w:rPr>
                <w:t>“</w:t>
              </w:r>
              <w:r>
                <w:rPr>
                  <w:rFonts w:ascii="Arial" w:hAnsi="Arial" w:cs="Times New Roman"/>
                  <w:kern w:val="2"/>
                </w:rPr>
                <w:t>11</w:t>
              </w:r>
              <w:r>
                <w:rPr>
                  <w:rFonts w:hint="eastAsia" w:cs="Times New Roman"/>
                  <w:kern w:val="2"/>
                </w:rPr>
                <w:t>柳钢债</w:t>
              </w:r>
              <w:r>
                <w:rPr>
                  <w:rFonts w:hint="eastAsia" w:ascii="Arial" w:hAnsi="Arial" w:cs="Times New Roman"/>
                  <w:kern w:val="2"/>
                </w:rPr>
                <w:t>”</w:t>
              </w:r>
              <w:r>
                <w:rPr>
                  <w:rFonts w:hint="eastAsia" w:cs="Times New Roman"/>
                  <w:kern w:val="2"/>
                </w:rPr>
                <w:t>持有人支付自</w:t>
              </w:r>
              <w:r>
                <w:rPr>
                  <w:rFonts w:ascii="Arial" w:hAnsi="Arial" w:cs="Times New Roman"/>
                  <w:kern w:val="2"/>
                </w:rPr>
                <w:t>201</w:t>
              </w:r>
              <w:r>
                <w:rPr>
                  <w:rFonts w:hint="eastAsia" w:ascii="Arial" w:hAnsi="Arial" w:cs="Times New Roman"/>
                  <w:kern w:val="2"/>
                </w:rPr>
                <w:t>7</w:t>
              </w:r>
              <w:r>
                <w:rPr>
                  <w:rFonts w:hint="eastAsia" w:cs="Times New Roman"/>
                  <w:kern w:val="2"/>
                </w:rPr>
                <w:t>年</w:t>
              </w:r>
              <w:r>
                <w:rPr>
                  <w:rFonts w:hint="eastAsia" w:ascii="Arial" w:hAnsi="Arial" w:cs="Times New Roman"/>
                  <w:kern w:val="2"/>
                </w:rPr>
                <w:t>6</w:t>
              </w:r>
              <w:r>
                <w:rPr>
                  <w:rFonts w:hint="eastAsia" w:cs="Times New Roman"/>
                  <w:kern w:val="2"/>
                </w:rPr>
                <w:t>月</w:t>
              </w:r>
              <w:r>
                <w:rPr>
                  <w:rFonts w:hint="eastAsia" w:ascii="Arial" w:hAnsi="Arial" w:cs="Times New Roman"/>
                  <w:kern w:val="2"/>
                </w:rPr>
                <w:t>1</w:t>
              </w:r>
              <w:r>
                <w:rPr>
                  <w:rFonts w:hint="eastAsia" w:cs="Times New Roman"/>
                  <w:kern w:val="2"/>
                </w:rPr>
                <w:t>日至</w:t>
              </w:r>
              <w:r>
                <w:rPr>
                  <w:rFonts w:ascii="Arial" w:hAnsi="Arial" w:cs="Times New Roman"/>
                  <w:kern w:val="2"/>
                </w:rPr>
                <w:t>201</w:t>
              </w:r>
              <w:r>
                <w:rPr>
                  <w:rFonts w:hint="eastAsia" w:ascii="Arial" w:hAnsi="Arial" w:cs="Times New Roman"/>
                  <w:kern w:val="2"/>
                </w:rPr>
                <w:t>8</w:t>
              </w:r>
              <w:r>
                <w:rPr>
                  <w:rFonts w:hint="eastAsia" w:cs="Times New Roman"/>
                  <w:kern w:val="2"/>
                </w:rPr>
                <w:t>年</w:t>
              </w:r>
              <w:r>
                <w:rPr>
                  <w:rFonts w:ascii="Arial" w:hAnsi="Arial" w:cs="Arial"/>
                  <w:kern w:val="2"/>
                </w:rPr>
                <w:t>5</w:t>
              </w:r>
              <w:r>
                <w:rPr>
                  <w:rFonts w:hint="eastAsia" w:cs="Times New Roman"/>
                  <w:kern w:val="2"/>
                </w:rPr>
                <w:t>月</w:t>
              </w:r>
              <w:r>
                <w:rPr>
                  <w:rFonts w:hint="eastAsia" w:ascii="Arial" w:hAnsi="Arial" w:cs="Times New Roman"/>
                  <w:kern w:val="2"/>
                </w:rPr>
                <w:t>31</w:t>
              </w:r>
              <w:r>
                <w:rPr>
                  <w:rFonts w:hint="eastAsia" w:cs="Times New Roman"/>
                  <w:kern w:val="2"/>
                </w:rPr>
                <w:t>日期间的利息。详见</w:t>
              </w:r>
              <w:r>
                <w:rPr>
                  <w:rFonts w:ascii="Arial" w:hAnsi="Arial" w:cs="Times New Roman"/>
                  <w:kern w:val="2"/>
                </w:rPr>
                <w:t>201</w:t>
              </w:r>
              <w:r>
                <w:rPr>
                  <w:rFonts w:hint="eastAsia" w:ascii="Arial" w:hAnsi="Arial" w:cs="Times New Roman"/>
                  <w:kern w:val="2"/>
                </w:rPr>
                <w:t>8</w:t>
              </w:r>
              <w:r>
                <w:rPr>
                  <w:rFonts w:hint="eastAsia" w:cs="Times New Roman"/>
                  <w:kern w:val="2"/>
                </w:rPr>
                <w:t>年</w:t>
              </w:r>
              <w:r>
                <w:rPr>
                  <w:rFonts w:hint="eastAsia" w:ascii="Arial" w:hAnsi="Arial" w:cs="Times New Roman"/>
                  <w:kern w:val="2"/>
                </w:rPr>
                <w:t>5</w:t>
              </w:r>
              <w:r>
                <w:rPr>
                  <w:rFonts w:hint="eastAsia" w:cs="Times New Roman"/>
                  <w:kern w:val="2"/>
                </w:rPr>
                <w:t>月</w:t>
              </w:r>
              <w:r>
                <w:rPr>
                  <w:rFonts w:hint="eastAsia" w:ascii="Arial" w:hAnsi="Arial" w:cs="Times New Roman"/>
                  <w:kern w:val="2"/>
                </w:rPr>
                <w:t>24</w:t>
              </w:r>
              <w:r>
                <w:rPr>
                  <w:rFonts w:hint="eastAsia" w:cs="Times New Roman"/>
                  <w:kern w:val="2"/>
                </w:rPr>
                <w:t>日刊登于上海证券交易所网站</w:t>
              </w:r>
              <w:r>
                <w:rPr>
                  <w:rFonts w:ascii="Arial" w:hAnsi="Arial" w:cs="Times New Roman"/>
                  <w:kern w:val="2"/>
                </w:rPr>
                <w:t>www.sse.com.c</w:t>
              </w:r>
              <w:r>
                <w:rPr>
                  <w:rFonts w:hint="eastAsia" w:ascii="Arial" w:hAnsi="Arial" w:cs="Times New Roman"/>
                  <w:kern w:val="2"/>
                </w:rPr>
                <w:t>n</w:t>
              </w:r>
              <w:r>
                <w:rPr>
                  <w:rFonts w:hint="eastAsia" w:cs="Times New Roman"/>
                  <w:kern w:val="2"/>
                </w:rPr>
                <w:t>的《</w:t>
              </w:r>
              <w:r>
                <w:rPr>
                  <w:rFonts w:ascii="Arial" w:hAnsi="Arial" w:cs="Times New Roman"/>
                  <w:kern w:val="2"/>
                </w:rPr>
                <w:t>2011</w:t>
              </w:r>
              <w:r>
                <w:rPr>
                  <w:rFonts w:hint="eastAsia" w:cs="Times New Roman"/>
                  <w:kern w:val="2"/>
                </w:rPr>
                <w:t>年柳州钢铁股份有限公司债券</w:t>
              </w:r>
              <w:r>
                <w:rPr>
                  <w:rFonts w:hint="eastAsia" w:ascii="Arial" w:hAnsi="Arial" w:cs="Times New Roman"/>
                  <w:kern w:val="2"/>
                </w:rPr>
                <w:t>2018</w:t>
              </w:r>
              <w:r>
                <w:rPr>
                  <w:rFonts w:hint="eastAsia" w:cs="Times New Roman"/>
                  <w:kern w:val="2"/>
                </w:rPr>
                <w:t>年付息公告 （编号：</w:t>
              </w:r>
              <w:r>
                <w:rPr>
                  <w:rFonts w:ascii="Arial" w:hAnsi="Arial" w:cs="Times New Roman"/>
                  <w:kern w:val="2"/>
                </w:rPr>
                <w:t>201</w:t>
              </w:r>
              <w:r>
                <w:rPr>
                  <w:rFonts w:hint="eastAsia" w:ascii="Arial" w:hAnsi="Arial" w:cs="Times New Roman"/>
                  <w:kern w:val="2"/>
                  <w:lang w:val="en-US" w:eastAsia="zh-CN"/>
                </w:rPr>
                <w:t>8</w:t>
              </w:r>
              <w:r>
                <w:rPr>
                  <w:rFonts w:ascii="Arial" w:hAnsi="Arial" w:cs="Times New Roman"/>
                  <w:kern w:val="2"/>
                </w:rPr>
                <w:t>-0</w:t>
              </w:r>
              <w:r>
                <w:rPr>
                  <w:rFonts w:hint="eastAsia" w:ascii="Arial" w:hAnsi="Arial" w:cs="Times New Roman"/>
                  <w:kern w:val="2"/>
                </w:rPr>
                <w:t>29）</w:t>
              </w:r>
              <w:r>
                <w:rPr>
                  <w:rFonts w:hint="eastAsia" w:cs="Times New Roman"/>
                  <w:kern w:val="2"/>
                </w:rPr>
                <w:t>》。</w:t>
              </w:r>
            </w:p>
            <w:p>
              <w:pPr>
                <w:rPr>
                  <w:rFonts w:asciiTheme="minorEastAsia" w:hAnsiTheme="minorEastAsia" w:eastAsiaTheme="minorEastAsia"/>
                  <w:bCs/>
                </w:rPr>
              </w:pPr>
            </w:p>
          </w:sdtContent>
        </w:sdt>
        <w:p>
          <w:pPr>
            <w:rPr>
              <w:rFonts w:asciiTheme="minorEastAsia" w:hAnsiTheme="minorEastAsia" w:eastAsiaTheme="minorEastAsia"/>
              <w:bCs/>
            </w:rPr>
          </w:pPr>
        </w:p>
        <w:p>
          <w:pPr>
            <w:rPr>
              <w:rFonts w:ascii="Arial" w:hAnsi="Arial"/>
              <w:bCs/>
            </w:rPr>
          </w:pPr>
          <w:r>
            <w:rPr>
              <w:rFonts w:hint="eastAsia" w:asciiTheme="minorEastAsia" w:hAnsiTheme="minorEastAsia" w:eastAsiaTheme="minorEastAsia"/>
              <w:bCs/>
            </w:rPr>
            <w:t>公司债券其他情况的</w:t>
          </w:r>
          <w:r>
            <w:rPr>
              <w:rFonts w:hint="eastAsia" w:ascii="Arial" w:hAnsi="Arial"/>
              <w:bCs/>
            </w:rPr>
            <w:t>说明</w:t>
          </w:r>
        </w:p>
        <w:sdt>
          <w:sdtPr>
            <w:rPr>
              <w:rFonts w:ascii="Arial" w:hAnsi="Arial"/>
              <w:bCs/>
            </w:rPr>
            <w:alias w:val="是否适用：公司债券其他情况的说明[双击切换]"/>
            <w:tag w:val="_GBC_f43ee2ad9a1340e2803eef0b47f048f2"/>
            <w:id w:val="25153946"/>
            <w:lock w:val="sdtContentLocked"/>
            <w:placeholder>
              <w:docPart w:val="GBC22222222222222222222222222222"/>
            </w:placeholder>
          </w:sdtPr>
          <w:sdtEndPr>
            <w:rPr>
              <w:rFonts w:ascii="Arial" w:hAnsi="Arial"/>
              <w:bCs/>
            </w:rPr>
          </w:sdtEndPr>
          <w:sdtContent>
            <w:p>
              <w:pPr>
                <w:rPr>
                  <w:rFonts w:ascii="Arial"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76"/>
      </w:pPr>
    </w:p>
    <w:sdt>
      <w:sdtPr>
        <w:rPr>
          <w:rFonts w:hint="eastAsia" w:ascii="宋体" w:hAnsi="宋体"/>
          <w:b w:val="0"/>
          <w:bCs w:val="0"/>
          <w:szCs w:val="24"/>
        </w:rPr>
        <w:alias w:val="模块:公司债券受托管理联系人、联系方式及资信评级机构联系方式"/>
        <w:tag w:val="_SEC_8efa5794c7a84584874afe725aa7ae2f"/>
        <w:id w:val="25153957"/>
        <w:lock w:val="sdtLocked"/>
        <w:placeholder>
          <w:docPart w:val="GBC22222222222222222222222222222"/>
        </w:placeholder>
      </w:sdtPr>
      <w:sdtEndPr>
        <w:rPr>
          <w:rFonts w:hint="eastAsia" w:ascii="宋体" w:hAnsi="宋体"/>
          <w:b w:val="0"/>
          <w:bCs w:val="0"/>
          <w:szCs w:val="21"/>
        </w:rPr>
      </w:sdtEndPr>
      <w:sdtContent>
        <w:p>
          <w:pPr>
            <w:pStyle w:val="3"/>
            <w:numPr>
              <w:ilvl w:val="0"/>
              <w:numId w:val="33"/>
            </w:numPr>
          </w:pPr>
          <w:r>
            <w:rPr>
              <w:rFonts w:hint="eastAsia"/>
            </w:rPr>
            <w:t>公司债券受托管理联系人、联系方式及资信评级机构联系方式</w:t>
          </w:r>
        </w:p>
        <w:p>
          <w:pPr>
            <w:pStyle w:val="76"/>
          </w:pPr>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289"/>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b730cd9a6384b898afc7e34cb716044"/>
                <w:id w:val="25153948"/>
                <w:lock w:val="sdtLocked"/>
              </w:sdtPr>
              <w:sdtContent>
                <w:tc>
                  <w:tcPr>
                    <w:tcW w:w="2203" w:type="dxa"/>
                    <w:vMerge w:val="restart"/>
                    <w:vAlign w:val="center"/>
                  </w:tcPr>
                  <w:p>
                    <w:pPr>
                      <w:jc w:val="center"/>
                    </w:pPr>
                    <w:r>
                      <w:rPr>
                        <w:rFonts w:hint="eastAsia"/>
                      </w:rPr>
                      <w:t>债券受托管理人</w:t>
                    </w:r>
                  </w:p>
                </w:tc>
              </w:sdtContent>
            </w:sdt>
            <w:sdt>
              <w:sdtPr>
                <w:tag w:val="_PLD_5f0068d32f734478a241cdfd1e9dbb91"/>
                <w:id w:val="25153949"/>
                <w:lock w:val="sdtLocked"/>
              </w:sdtPr>
              <w:sdtContent>
                <w:tc>
                  <w:tcPr>
                    <w:tcW w:w="2289" w:type="dxa"/>
                  </w:tcPr>
                  <w:p>
                    <w:pPr>
                      <w:pStyle w:val="76"/>
                    </w:pPr>
                    <w:r>
                      <w:rPr>
                        <w:rFonts w:hint="eastAsia"/>
                      </w:rPr>
                      <w:t>名称</w:t>
                    </w:r>
                  </w:p>
                </w:tc>
              </w:sdtContent>
            </w:sdt>
            <w:tc>
              <w:tcPr>
                <w:tcW w:w="4557" w:type="dxa"/>
              </w:tcPr>
              <w:p>
                <w:pPr>
                  <w:snapToGrid w:val="0"/>
                </w:pPr>
                <w:r>
                  <w:t>平安证券有限责任公司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71fac07c1fd84e2fbad4dabb1893e4f3"/>
                <w:id w:val="25153950"/>
                <w:lock w:val="sdtLocked"/>
              </w:sdtPr>
              <w:sdtContent>
                <w:tc>
                  <w:tcPr>
                    <w:tcW w:w="2289" w:type="dxa"/>
                  </w:tcPr>
                  <w:p>
                    <w:pPr>
                      <w:pStyle w:val="76"/>
                    </w:pPr>
                    <w:r>
                      <w:rPr>
                        <w:rFonts w:hint="eastAsia"/>
                      </w:rPr>
                      <w:t>办公地址</w:t>
                    </w:r>
                  </w:p>
                </w:tc>
              </w:sdtContent>
            </w:sdt>
            <w:tc>
              <w:tcPr>
                <w:tcW w:w="4557" w:type="dxa"/>
              </w:tcPr>
              <w:p>
                <w:pPr>
                  <w:snapToGrid w:val="0"/>
                </w:pPr>
                <w:r>
                  <w:t>广东省深圳市福田中心区金田路4036号荣超大厦16-20层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b789e3fae55d4f0796fa4602f119b04a"/>
                <w:id w:val="25153951"/>
                <w:lock w:val="sdtLocked"/>
              </w:sdtPr>
              <w:sdtContent>
                <w:tc>
                  <w:tcPr>
                    <w:tcW w:w="2289" w:type="dxa"/>
                  </w:tcPr>
                  <w:p>
                    <w:pPr>
                      <w:pStyle w:val="76"/>
                    </w:pPr>
                    <w:r>
                      <w:rPr>
                        <w:rFonts w:hint="eastAsia"/>
                      </w:rPr>
                      <w:t>联系人</w:t>
                    </w:r>
                  </w:p>
                </w:tc>
              </w:sdtContent>
            </w:sdt>
            <w:tc>
              <w:tcPr>
                <w:tcW w:w="4557" w:type="dxa"/>
              </w:tcPr>
              <w:p>
                <w:pPr>
                  <w:snapToGrid w:val="0"/>
                </w:pPr>
                <w:r>
                  <w:t>瞿珊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419961c4cccb43779cec0337461f1896"/>
                <w:id w:val="25153952"/>
                <w:lock w:val="sdtLocked"/>
              </w:sdtPr>
              <w:sdtContent>
                <w:tc>
                  <w:tcPr>
                    <w:tcW w:w="2289" w:type="dxa"/>
                  </w:tcPr>
                  <w:p>
                    <w:pPr>
                      <w:pStyle w:val="76"/>
                    </w:pPr>
                    <w:r>
                      <w:rPr>
                        <w:rFonts w:hint="eastAsia"/>
                      </w:rPr>
                      <w:t>联系电话</w:t>
                    </w:r>
                  </w:p>
                </w:tc>
              </w:sdtContent>
            </w:sdt>
            <w:tc>
              <w:tcPr>
                <w:tcW w:w="4557" w:type="dxa"/>
              </w:tcPr>
              <w:p>
                <w:pPr>
                  <w:snapToGrid w:val="0"/>
                </w:pPr>
                <w:r>
                  <w:t>010-66299517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56382870774154990cbef03267cce9"/>
                <w:id w:val="25153953"/>
                <w:lock w:val="sdtLocked"/>
              </w:sdtPr>
              <w:sdtContent>
                <w:tc>
                  <w:tcPr>
                    <w:tcW w:w="2203" w:type="dxa"/>
                    <w:vMerge w:val="restart"/>
                    <w:vAlign w:val="center"/>
                  </w:tcPr>
                  <w:p>
                    <w:pPr>
                      <w:jc w:val="center"/>
                    </w:pPr>
                    <w:r>
                      <w:rPr>
                        <w:rFonts w:hint="eastAsia"/>
                      </w:rPr>
                      <w:t>资信评级机构</w:t>
                    </w:r>
                  </w:p>
                </w:tc>
              </w:sdtContent>
            </w:sdt>
            <w:sdt>
              <w:sdtPr>
                <w:tag w:val="_PLD_7ce408bcdfb94ed3b618c4490842683f"/>
                <w:id w:val="25153954"/>
                <w:lock w:val="sdtLocked"/>
              </w:sdtPr>
              <w:sdtContent>
                <w:tc>
                  <w:tcPr>
                    <w:tcW w:w="2289" w:type="dxa"/>
                  </w:tcPr>
                  <w:p>
                    <w:pPr>
                      <w:pStyle w:val="76"/>
                    </w:pPr>
                    <w:r>
                      <w:rPr>
                        <w:rFonts w:hint="eastAsia"/>
                      </w:rPr>
                      <w:t>名称</w:t>
                    </w:r>
                  </w:p>
                </w:tc>
              </w:sdtContent>
            </w:sdt>
            <w:tc>
              <w:tcPr>
                <w:tcW w:w="4557" w:type="dxa"/>
              </w:tcPr>
              <w:p>
                <w:pPr>
                  <w:snapToGrid w:val="0"/>
                </w:pPr>
                <w:r>
                  <w:t>联合信用评级有限公司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6a81b3ac44ce468e967bfd23b7bd11d1"/>
                <w:id w:val="25153955"/>
                <w:lock w:val="sdtLocked"/>
              </w:sdtPr>
              <w:sdtContent>
                <w:tc>
                  <w:tcPr>
                    <w:tcW w:w="2289" w:type="dxa"/>
                  </w:tcPr>
                  <w:p>
                    <w:pPr>
                      <w:pStyle w:val="76"/>
                    </w:pPr>
                    <w:r>
                      <w:rPr>
                        <w:rFonts w:hint="eastAsia"/>
                      </w:rPr>
                      <w:t>办公地址</w:t>
                    </w:r>
                  </w:p>
                </w:tc>
              </w:sdtContent>
            </w:sdt>
            <w:tc>
              <w:tcPr>
                <w:tcW w:w="4557" w:type="dxa"/>
              </w:tcPr>
              <w:p>
                <w:pPr>
                  <w:snapToGrid w:val="0"/>
                </w:pPr>
                <w:r>
                  <w:t>中国北京朝阳区建国门外大街2号PICC大厦12层（100022）</w:t>
                </w:r>
              </w:p>
            </w:tc>
          </w:tr>
        </w:tbl>
        <w:p>
          <w:pPr>
            <w:pStyle w:val="76"/>
          </w:pPr>
        </w:p>
        <w:p>
          <w:pPr>
            <w:snapToGrid w:val="0"/>
            <w:rPr>
              <w:rFonts w:hAnsi="Arial"/>
              <w:bCs/>
            </w:rPr>
          </w:pPr>
          <w:r>
            <w:rPr>
              <w:rFonts w:hint="eastAsia" w:ascii="Arial" w:hAnsi="Arial"/>
              <w:bCs/>
            </w:rPr>
            <w:t>其他</w:t>
          </w:r>
          <w:r>
            <w:rPr>
              <w:rFonts w:hint="eastAsia" w:hAnsi="Arial"/>
              <w:bCs/>
            </w:rPr>
            <w:t>说明：</w:t>
          </w:r>
        </w:p>
        <w:sdt>
          <w:sdtPr>
            <w:rPr>
              <w:rFonts w:hAnsi="Arial"/>
              <w:bCs/>
            </w:rPr>
            <w:alias w:val="是否适用：公司债券受托管理联系人、联系方式及资信评级机构联系方式其他说明[双击切换]"/>
            <w:tag w:val="_GBC_4502f1b8da7f41ba956f7f994d96c27d"/>
            <w:id w:val="25153956"/>
            <w:lock w:val="sdtContentLocked"/>
            <w:placeholder>
              <w:docPart w:val="GBC22222222222222222222222222222"/>
            </w:placeholder>
          </w:sdtPr>
          <w:sdtEndPr>
            <w:rPr>
              <w:rFonts w:hAnsi="Arial"/>
              <w:bCs/>
            </w:rPr>
          </w:sdtEndPr>
          <w:sdtContent>
            <w:p>
              <w:pPr>
                <w:snapToGrid w:val="0"/>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76"/>
      </w:pPr>
    </w:p>
    <w:sdt>
      <w:sdtPr>
        <w:rPr>
          <w:rFonts w:hint="eastAsia" w:ascii="宋体" w:hAnsi="宋体"/>
          <w:b w:val="0"/>
          <w:bCs w:val="0"/>
          <w:szCs w:val="24"/>
        </w:rPr>
        <w:alias w:val="模块:公司债券募集资金使用情况"/>
        <w:tag w:val="_SEC_20d0cee77bc7420fbaff6d9950e38fb8"/>
        <w:id w:val="25153960"/>
        <w:lock w:val="sdtLocked"/>
        <w:placeholder>
          <w:docPart w:val="GBC22222222222222222222222222222"/>
        </w:placeholder>
      </w:sdtPr>
      <w:sdtEndPr>
        <w:rPr>
          <w:rFonts w:hint="eastAsia" w:ascii="宋体" w:hAnsi="宋体"/>
          <w:b w:val="0"/>
          <w:bCs w:val="0"/>
          <w:szCs w:val="21"/>
          <w:u w:val="single"/>
        </w:rPr>
      </w:sdtEndPr>
      <w:sdtContent>
        <w:p>
          <w:pPr>
            <w:pStyle w:val="3"/>
            <w:numPr>
              <w:ilvl w:val="0"/>
              <w:numId w:val="33"/>
            </w:numPr>
            <w:rPr>
              <w:bCs w:val="0"/>
            </w:rPr>
          </w:pPr>
          <w:r>
            <w:rPr>
              <w:rFonts w:hint="eastAsia"/>
              <w:bCs w:val="0"/>
            </w:rPr>
            <w:t>公司债券</w:t>
          </w:r>
          <w:r>
            <w:rPr>
              <w:rFonts w:hint="eastAsia"/>
            </w:rPr>
            <w:t>募集</w:t>
          </w:r>
          <w:r>
            <w:rPr>
              <w:rFonts w:hint="eastAsia"/>
              <w:bCs w:val="0"/>
            </w:rPr>
            <w:t>资金使用情况</w:t>
          </w:r>
        </w:p>
        <w:sdt>
          <w:sdtPr>
            <w:alias w:val="是否适用：公司债券募集资金使用情况[双击切换]"/>
            <w:tag w:val="_GBC_db95c035380b490690a47f659f7c2394"/>
            <w:id w:val="2515395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Arial" w:hAnsi="Arial"/>
              <w:bCs/>
            </w:rPr>
            <w:alias w:val="公司债券募集资金使用情况"/>
            <w:tag w:val="_GBC_0d4716e033d342608a423d087b9ab469"/>
            <w:id w:val="25153959"/>
            <w:lock w:val="sdtLocked"/>
            <w:placeholder>
              <w:docPart w:val="GBC22222222222222222222222222222"/>
            </w:placeholder>
          </w:sdtPr>
          <w:sdtEndPr>
            <w:rPr>
              <w:rFonts w:hint="eastAsia" w:ascii="Arial" w:hAnsi="Arial"/>
              <w:bCs/>
            </w:rPr>
          </w:sdtEndPr>
          <w:sdtContent>
            <w:p>
              <w:pPr>
                <w:pStyle w:val="76"/>
              </w:pPr>
              <w:r>
                <w:rPr>
                  <w:rFonts w:hint="eastAsia" w:cs="Times New Roman"/>
                  <w:kern w:val="2"/>
                </w:rPr>
                <w:t>本次债券发行主要为了调整负债结构，</w:t>
              </w:r>
              <w:r>
                <w:rPr>
                  <w:rFonts w:hint="eastAsia"/>
                </w:rPr>
                <w:t>债券募集资金到账后，已按计划全部用于偿还银行借款。</w:t>
              </w:r>
            </w:p>
          </w:sdtContent>
        </w:sdt>
      </w:sdtContent>
    </w:sdt>
    <w:p>
      <w:pPr>
        <w:spacing w:line="360" w:lineRule="auto"/>
        <w:rPr>
          <w:u w:val="single"/>
        </w:rPr>
      </w:pPr>
    </w:p>
    <w:sdt>
      <w:sdtPr>
        <w:rPr>
          <w:rFonts w:hint="eastAsia" w:ascii="宋体" w:hAnsi="宋体"/>
          <w:b w:val="0"/>
          <w:bCs w:val="0"/>
          <w:szCs w:val="24"/>
        </w:rPr>
        <w:alias w:val="模块:公司债券评级情况"/>
        <w:tag w:val="_SEC_1b23acce9c52448c9f10b5470b4e0f9c"/>
        <w:id w:val="25153963"/>
        <w:lock w:val="sdtLocked"/>
        <w:placeholder>
          <w:docPart w:val="GBC22222222222222222222222222222"/>
        </w:placeholder>
      </w:sdtPr>
      <w:sdtEndPr>
        <w:rPr>
          <w:rFonts w:hint="eastAsia" w:ascii="宋体" w:hAnsi="宋体"/>
          <w:b w:val="0"/>
          <w:bCs/>
          <w:szCs w:val="21"/>
        </w:rPr>
      </w:sdtEndPr>
      <w:sdtContent>
        <w:p>
          <w:pPr>
            <w:pStyle w:val="3"/>
            <w:numPr>
              <w:ilvl w:val="0"/>
              <w:numId w:val="33"/>
            </w:numPr>
            <w:rPr>
              <w:bCs w:val="0"/>
            </w:rPr>
          </w:pPr>
          <w:r>
            <w:rPr>
              <w:rFonts w:hint="eastAsia"/>
              <w:bCs w:val="0"/>
            </w:rPr>
            <w:t>公司债券</w:t>
          </w:r>
          <w:r>
            <w:rPr>
              <w:rFonts w:hint="eastAsia"/>
            </w:rPr>
            <w:t>评级</w:t>
          </w:r>
          <w:r>
            <w:rPr>
              <w:rFonts w:hint="eastAsia"/>
              <w:bCs w:val="0"/>
            </w:rPr>
            <w:t>情况</w:t>
          </w:r>
        </w:p>
        <w:sdt>
          <w:sdtPr>
            <w:rPr>
              <w:rFonts w:hint="eastAsia" w:hAnsi="Arial"/>
              <w:bCs/>
            </w:rPr>
            <w:alias w:val="是否适用：公司债券评级情况[双击切换]"/>
            <w:tag w:val="_GBC_156c21b8a0fd458b972701e31931bc37"/>
            <w:id w:val="25153961"/>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公司债券资信评级机构情况"/>
            <w:tag w:val="_GBC_74ca0217bc7446a4915a94b66e3e0852"/>
            <w:id w:val="25153962"/>
            <w:lock w:val="sdtLocked"/>
            <w:placeholder>
              <w:docPart w:val="GBC22222222222222222222222222222"/>
            </w:placeholder>
          </w:sdtPr>
          <w:sdtEndPr>
            <w:rPr>
              <w:rFonts w:hint="eastAsia" w:hAnsi="Arial"/>
              <w:bCs/>
            </w:rPr>
          </w:sdtEndPr>
          <w:sdtContent>
            <w:p>
              <w:pPr>
                <w:rPr>
                  <w:rFonts w:hAnsi="Arial" w:cs="Times New Roman"/>
                  <w:kern w:val="2"/>
                </w:rPr>
              </w:pPr>
              <w:r>
                <w:rPr>
                  <w:rFonts w:hint="eastAsia" w:hAnsi="Arial"/>
                  <w:bCs/>
                </w:rPr>
                <w:t xml:space="preserve">    </w:t>
              </w:r>
              <w:r>
                <w:rPr>
                  <w:rFonts w:hint="eastAsia" w:cs="Times New Roman"/>
                  <w:kern w:val="2"/>
                </w:rPr>
                <w:t>根据中国证券监督管理委员会《上市公司证券发行管理办法》和上海证券交易所《公司债券</w:t>
              </w:r>
            </w:p>
            <w:p>
              <w:pPr>
                <w:rPr>
                  <w:rFonts w:hAnsi="Arial" w:cs="Times New Roman"/>
                  <w:kern w:val="2"/>
                </w:rPr>
              </w:pPr>
              <w:r>
                <w:rPr>
                  <w:rFonts w:hint="eastAsia" w:cs="Times New Roman"/>
                  <w:kern w:val="2"/>
                </w:rPr>
                <w:t>上市规则》的有关规定，公司聘请</w:t>
              </w:r>
              <w:r>
                <w:rPr>
                  <w:rFonts w:hint="eastAsia"/>
                </w:rPr>
                <w:t>联合信用评级有限公司</w:t>
              </w:r>
              <w:r>
                <w:rPr>
                  <w:rFonts w:hint="eastAsia" w:cs="Times New Roman"/>
                  <w:kern w:val="2"/>
                </w:rPr>
                <w:t>（以下简称</w:t>
              </w:r>
              <w:r>
                <w:rPr>
                  <w:rFonts w:hint="eastAsia" w:hAnsi="Arial" w:cs="Times New Roman"/>
                  <w:kern w:val="2"/>
                </w:rPr>
                <w:t>“</w:t>
              </w:r>
              <w:r>
                <w:rPr>
                  <w:rFonts w:hint="eastAsia"/>
                </w:rPr>
                <w:t>联合评级</w:t>
              </w:r>
              <w:r>
                <w:rPr>
                  <w:rFonts w:hint="eastAsia" w:hAnsi="Arial" w:cs="Times New Roman"/>
                  <w:kern w:val="2"/>
                </w:rPr>
                <w:t>”）对“11</w:t>
              </w:r>
              <w:r>
                <w:rPr>
                  <w:rFonts w:hint="eastAsia" w:cs="Times New Roman"/>
                  <w:kern w:val="2"/>
                </w:rPr>
                <w:t>柳钢债</w:t>
              </w:r>
              <w:r>
                <w:rPr>
                  <w:rFonts w:hint="eastAsia" w:hAnsi="Arial" w:cs="Times New Roman"/>
                  <w:kern w:val="2"/>
                </w:rPr>
                <w:t>”进行评级。</w:t>
              </w:r>
            </w:p>
            <w:p>
              <w:pPr>
                <w:pStyle w:val="76"/>
              </w:pPr>
              <w:r>
                <w:rPr>
                  <w:rFonts w:hint="eastAsia"/>
                  <w:color w:val="000000"/>
                </w:rPr>
                <w:t xml:space="preserve">    2018年6月7日，在对本公司经营状况及相关行业进行综合分析与评估的基础上， 联合信用评级公司出具了《柳州钢铁股份有限公司公司债券2018年跟踪评级报告》：公司主体长期信用等级为“ AA”，评级展望维持“稳定”，维持11柳钢债债项信用等级为“ AA”。（公告编号：2018-035）</w:t>
              </w:r>
            </w:p>
            <w:p>
              <w:pPr>
                <w:rPr>
                  <w:rFonts w:hAnsi="Arial" w:cs="Times New Roman"/>
                  <w:color w:val="000000"/>
                  <w:kern w:val="2"/>
                </w:rPr>
              </w:pPr>
              <w:r>
                <w:rPr>
                  <w:rFonts w:hint="eastAsia" w:cs="Times New Roman"/>
                  <w:color w:val="000000"/>
                  <w:kern w:val="2"/>
                </w:rPr>
                <w:t xml:space="preserve">    根据上海证券交易所对于跟踪评级报告披露时间的要求，定期跟踪评级报告每年出具一次，</w:t>
              </w:r>
            </w:p>
            <w:p>
              <w:pPr>
                <w:rPr>
                  <w:rFonts w:hAnsi="Arial" w:cs="Times New Roman"/>
                  <w:kern w:val="2"/>
                </w:rPr>
              </w:pPr>
              <w:r>
                <w:rPr>
                  <w:rFonts w:hint="eastAsia" w:cs="Times New Roman"/>
                  <w:color w:val="000000"/>
                  <w:kern w:val="2"/>
                </w:rPr>
                <w:t>年度报告公布后完成该年度的定期跟踪评级，并发布定期跟踪评级结果及报告，相关信息将通过上海证券交易所网站（</w:t>
              </w:r>
              <w:r>
                <w:rPr>
                  <w:rFonts w:hint="eastAsia" w:hAnsi="Arial" w:cs="Times New Roman"/>
                  <w:color w:val="000000"/>
                  <w:kern w:val="2"/>
                </w:rPr>
                <w:t>http://www.sse.com.cn），提请投资者关注。</w:t>
              </w:r>
            </w:p>
            <w:p>
              <w:pPr>
                <w:rPr>
                  <w:rFonts w:hAnsi="Arial"/>
                  <w:bCs/>
                </w:rPr>
              </w:pPr>
            </w:p>
          </w:sdtContent>
        </w:sdt>
      </w:sdtContent>
    </w:sdt>
    <w:p>
      <w:pPr>
        <w:spacing w:line="360" w:lineRule="auto"/>
      </w:pPr>
    </w:p>
    <w:sdt>
      <w:sdtPr>
        <w:rPr>
          <w:rFonts w:hint="eastAsia" w:ascii="宋体" w:hAnsi="宋体"/>
          <w:b w:val="0"/>
          <w:bCs w:val="0"/>
          <w:szCs w:val="24"/>
        </w:rPr>
        <w:alias w:val="模块:报告期内公司债券增信机制、偿债计划及其他相关情况"/>
        <w:tag w:val="_SEC_73dc0a39cd5e4a7587ca2217fb467bb4"/>
        <w:id w:val="25153966"/>
        <w:lock w:val="sdtLocked"/>
        <w:placeholder>
          <w:docPart w:val="GBC22222222222222222222222222222"/>
        </w:placeholder>
      </w:sdtPr>
      <w:sdtEndPr>
        <w:rPr>
          <w:rFonts w:hint="eastAsia" w:ascii="宋体" w:hAnsi="宋体"/>
          <w:b w:val="0"/>
          <w:bCs/>
          <w:szCs w:val="21"/>
        </w:rPr>
      </w:sdtEndPr>
      <w:sdtContent>
        <w:p>
          <w:pPr>
            <w:pStyle w:val="3"/>
            <w:numPr>
              <w:ilvl w:val="0"/>
              <w:numId w:val="33"/>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int="eastAsia" w:hAnsi="Arial"/>
              <w:bCs/>
            </w:rPr>
            <w:alias w:val="是否适用：报告期内公司债券增信机制、偿债计划及其他相关情况[双击切换]"/>
            <w:tag w:val="_GBC_29ab91b4fa4d4e04b3853c5e20ab78c0"/>
            <w:id w:val="25153964"/>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szCs w:val="21"/>
            </w:rPr>
            <w:alias w:val="报告期内公司债券增信机制、偿债计划及其他相关情况"/>
            <w:tag w:val="_GBC_753a95b144244e749bed3ae0ee8f3636"/>
            <w:id w:val="25153965"/>
            <w:lock w:val="sdtLocked"/>
            <w:placeholder>
              <w:docPart w:val="GBC22222222222222222222222222222"/>
            </w:placeholder>
          </w:sdtPr>
          <w:sdtEndPr>
            <w:rPr>
              <w:rFonts w:hint="eastAsia" w:hAnsi="Arial"/>
              <w:bCs/>
              <w:szCs w:val="21"/>
            </w:rPr>
          </w:sdtEndPr>
          <w:sdtContent>
            <w:p>
              <w:pPr>
                <w:pStyle w:val="76"/>
              </w:pPr>
              <w:r>
                <w:rPr>
                  <w:rFonts w:hint="eastAsia" w:hAnsi="Arial"/>
                  <w:bCs/>
                </w:rPr>
                <w:t xml:space="preserve">    </w:t>
              </w:r>
              <w:r>
                <w:rPr>
                  <w:rFonts w:hint="eastAsia" w:cs="Times New Roman"/>
                  <w:color w:val="000000"/>
                  <w:kern w:val="2"/>
                </w:rPr>
                <w:t>公司按时履行债券年度付息及到期还本付息义务。公司偿债能力良好。公司偿债资金主要来源于公司日常的盈利积累及经营活动所产生的现金流。公司的收入规模和盈利积累，较大程度上保证了公司按期偿本付息的能力。</w:t>
              </w:r>
            </w:p>
            <w:p>
              <w:pPr>
                <w:rPr>
                  <w:rFonts w:hAnsi="Arial"/>
                  <w:bCs/>
                </w:rPr>
              </w:pPr>
            </w:p>
          </w:sdtContent>
        </w:sdt>
      </w:sdtContent>
    </w:sdt>
    <w:p>
      <w:pPr>
        <w:pStyle w:val="76"/>
      </w:pPr>
    </w:p>
    <w:sdt>
      <w:sdtPr>
        <w:rPr>
          <w:rFonts w:hint="eastAsia" w:ascii="宋体" w:hAnsi="宋体"/>
          <w:b w:val="0"/>
          <w:bCs w:val="0"/>
          <w:szCs w:val="24"/>
        </w:rPr>
        <w:alias w:val="模块:公司债券持有人会议召开情况"/>
        <w:tag w:val="_SEC_470180e8afb2410ca3523fba53d30bf9"/>
        <w:id w:val="25153968"/>
        <w:lock w:val="sdtLocked"/>
        <w:placeholder>
          <w:docPart w:val="GBC22222222222222222222222222222"/>
        </w:placeholder>
      </w:sdtPr>
      <w:sdtEndPr>
        <w:rPr>
          <w:rFonts w:hint="eastAsia" w:ascii="宋体" w:hAnsi="宋体"/>
          <w:b w:val="0"/>
          <w:bCs w:val="0"/>
          <w:szCs w:val="21"/>
          <w:u w:val="single"/>
        </w:rPr>
      </w:sdtEndPr>
      <w:sdtContent>
        <w:p>
          <w:pPr>
            <w:pStyle w:val="3"/>
            <w:numPr>
              <w:ilvl w:val="0"/>
              <w:numId w:val="33"/>
            </w:numPr>
            <w:rPr>
              <w:bCs w:val="0"/>
            </w:rPr>
          </w:pPr>
          <w:r>
            <w:rPr>
              <w:rFonts w:hint="eastAsia"/>
              <w:bCs w:val="0"/>
            </w:rPr>
            <w:t>公司债券持有人会议召开情况</w:t>
          </w:r>
        </w:p>
        <w:sdt>
          <w:sdtPr>
            <w:rPr>
              <w:rFonts w:hint="eastAsia" w:hAnsi="Arial"/>
              <w:bCs/>
            </w:rPr>
            <w:alias w:val="是否适用：公司债券持有人会议召开情况[双击切换]"/>
            <w:tag w:val="_GBC_aafc586fa6a745abb9652ea6b11ec41c"/>
            <w:id w:val="25153967"/>
            <w:lock w:val="sdtContentLocked"/>
            <w:placeholder>
              <w:docPart w:val="GBC22222222222222222222222222222"/>
            </w:placeholder>
          </w:sdtPr>
          <w:sdtEndPr>
            <w:rPr>
              <w:rFonts w:hint="eastAsia" w:hAnsi="Arial"/>
              <w:bCs/>
            </w:rPr>
          </w:sdtEndPr>
          <w:sdtContent>
            <w:p>
              <w:pPr>
                <w:pStyle w:val="76"/>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76"/>
      </w:pPr>
    </w:p>
    <w:sdt>
      <w:sdtPr>
        <w:rPr>
          <w:rFonts w:hint="eastAsia" w:ascii="宋体" w:hAnsi="宋体"/>
          <w:b w:val="0"/>
          <w:bCs w:val="0"/>
          <w:szCs w:val="24"/>
        </w:rPr>
        <w:alias w:val="模块:公司债券受托管理人履职情况"/>
        <w:tag w:val="_SEC_4a9609536e844c219669ec52b4082de1"/>
        <w:id w:val="25153971"/>
        <w:lock w:val="sdtLocked"/>
        <w:placeholder>
          <w:docPart w:val="GBC22222222222222222222222222222"/>
        </w:placeholder>
      </w:sdtPr>
      <w:sdtEndPr>
        <w:rPr>
          <w:rFonts w:hint="eastAsia" w:ascii="宋体" w:hAnsi="宋体"/>
          <w:b w:val="0"/>
          <w:bCs w:val="0"/>
          <w:szCs w:val="21"/>
          <w:u w:val="single"/>
        </w:rPr>
      </w:sdtEndPr>
      <w:sdtContent>
        <w:p>
          <w:pPr>
            <w:pStyle w:val="3"/>
            <w:numPr>
              <w:ilvl w:val="0"/>
              <w:numId w:val="33"/>
            </w:numPr>
            <w:rPr>
              <w:bCs w:val="0"/>
            </w:rPr>
          </w:pPr>
          <w:r>
            <w:rPr>
              <w:rFonts w:hint="eastAsia"/>
              <w:bCs w:val="0"/>
            </w:rPr>
            <w:t>公司债券受托管理人履职情况</w:t>
          </w:r>
        </w:p>
        <w:sdt>
          <w:sdtPr>
            <w:rPr>
              <w:rFonts w:hint="eastAsia" w:hAnsi="Arial"/>
              <w:bCs/>
            </w:rPr>
            <w:alias w:val="是否适用：公司债券受托管理人履职情况[双击切换]"/>
            <w:tag w:val="_GBC_075afcca2b7841738b95e246bd2a50e2"/>
            <w:id w:val="25153969"/>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公司债券受托管理人履职情况"/>
            <w:tag w:val="_GBC_a98a33fe1614400096f0cc09e5ccc79b"/>
            <w:id w:val="25153970"/>
            <w:lock w:val="sdtLocked"/>
            <w:placeholder>
              <w:docPart w:val="GBC22222222222222222222222222222"/>
            </w:placeholder>
          </w:sdtPr>
          <w:sdtEndPr>
            <w:rPr>
              <w:rFonts w:hint="eastAsia" w:hAnsi="Arial"/>
              <w:bCs/>
            </w:rPr>
          </w:sdtEndPr>
          <w:sdtContent>
            <w:p>
              <w:pPr>
                <w:pStyle w:val="76"/>
              </w:pPr>
              <w:r>
                <w:rPr>
                  <w:rFonts w:hint="eastAsia" w:cs="Times New Roman"/>
                  <w:kern w:val="2"/>
                </w:rPr>
                <w:t>报告期内债券受托管理人按约定履行职责。</w:t>
              </w:r>
            </w:p>
          </w:sdtContent>
        </w:sdt>
      </w:sdtContent>
    </w:sdt>
    <w:p>
      <w:pPr>
        <w:spacing w:line="360" w:lineRule="auto"/>
        <w:rPr>
          <w:rFonts w:ascii="Arial" w:hAnsi="Arial"/>
          <w:bCs/>
        </w:rPr>
      </w:pPr>
    </w:p>
    <w:sdt>
      <w:sdtPr>
        <w:rPr>
          <w:rFonts w:hint="eastAsia" w:ascii="宋体" w:hAnsi="宋体" w:cs="宋体"/>
          <w:b w:val="0"/>
          <w:bCs w:val="0"/>
          <w:kern w:val="0"/>
          <w:szCs w:val="24"/>
        </w:rPr>
        <w:alias w:val="模块:截至报告期末公司近2年的会计数据和财务指标"/>
        <w:tag w:val="_SEC_9f3013bc6d4940f49cf3cfe39dab5a57"/>
        <w:id w:val="25153990"/>
        <w:lock w:val="sdtLocked"/>
        <w:placeholder>
          <w:docPart w:val="GBC22222222222222222222222222222"/>
        </w:placeholder>
      </w:sdtPr>
      <w:sdtEndPr>
        <w:rPr>
          <w:rFonts w:hint="eastAsia" w:ascii="宋体" w:hAnsi="宋体" w:cs="宋体"/>
          <w:b w:val="0"/>
          <w:bCs w:val="0"/>
          <w:kern w:val="0"/>
          <w:szCs w:val="24"/>
        </w:rPr>
      </w:sdtEndPr>
      <w:sdtContent>
        <w:p>
          <w:pPr>
            <w:pStyle w:val="78"/>
            <w:numPr>
              <w:ilvl w:val="0"/>
              <w:numId w:val="33"/>
            </w:numPr>
            <w:rPr>
              <w:b w:val="0"/>
              <w:bCs w:val="0"/>
            </w:rPr>
          </w:pPr>
          <w:r>
            <w:rPr>
              <w:rFonts w:hint="eastAsia"/>
            </w:rPr>
            <w:t>截至报告期末和上年末（或本报告期和上年同期）下列会计数据和财务指标</w:t>
          </w:r>
          <w:r>
            <w:t xml:space="preserve"> </w:t>
          </w:r>
        </w:p>
        <w:sdt>
          <w:sdtPr>
            <w:alias w:val="是否适用：截至报告期末和上年末（或本报告期和上年同期）下列会计数据和财务指标 [双击切换]"/>
            <w:tag w:val="_GBC_e1fb30558f9c454b8f3ba9e82315063f"/>
            <w:id w:val="2515397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r>
            <w:rPr>
              <w:szCs w:val="21"/>
            </w:rPr>
            <w:t>:</w:t>
          </w:r>
          <w:sdt>
            <w:sdtPr>
              <w:rPr>
                <w:szCs w:val="21"/>
              </w:rPr>
              <w:alias w:val="单位：财务附注：截至报告期末公司近2年的会计数据和财务指标"/>
              <w:tag w:val="_GBC_afc0f331fd4b47ce87ad91eec01d628d"/>
              <w:id w:val="251539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szCs w:val="21"/>
                </w:rPr>
                <w:t>元</w:t>
              </w:r>
            </w:sdtContent>
          </w:sdt>
          <w:r>
            <w:rPr>
              <w:rFonts w:hint="eastAsia"/>
              <w:szCs w:val="21"/>
            </w:rPr>
            <w:t xml:space="preserve">  币种</w:t>
          </w:r>
          <w:r>
            <w:rPr>
              <w:szCs w:val="21"/>
            </w:rPr>
            <w:t>:</w:t>
          </w:r>
          <w:sdt>
            <w:sdtPr>
              <w:rPr>
                <w:szCs w:val="21"/>
              </w:rPr>
              <w:alias w:val="币种：财务附注：截至报告期末公司近2年的会计数据和财务指标"/>
              <w:tag w:val="_GBC_17d60ed9196541edac6e74398e4722b2"/>
              <w:id w:val="25153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099"/>
            <w:gridCol w:w="1585"/>
            <w:gridCol w:w="170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95a4fd0c8947ce9988f222f3a78dcb"/>
                <w:id w:val="25153975"/>
                <w:lock w:val="sdtLocked"/>
              </w:sdtPr>
              <w:sdtContent>
                <w:tc>
                  <w:tcPr>
                    <w:tcW w:w="2377" w:type="dxa"/>
                    <w:vAlign w:val="center"/>
                  </w:tcPr>
                  <w:p>
                    <w:pPr>
                      <w:pStyle w:val="76"/>
                      <w:jc w:val="center"/>
                      <w:rPr>
                        <w:rFonts w:ascii="Arial" w:hAnsi="Arial" w:cs="Times New Roman"/>
                        <w:b/>
                        <w:bCs/>
                        <w:szCs w:val="21"/>
                      </w:rPr>
                    </w:pPr>
                    <w:r>
                      <w:rPr>
                        <w:rFonts w:hint="eastAsia"/>
                        <w:szCs w:val="21"/>
                      </w:rPr>
                      <w:t>主要指标</w:t>
                    </w:r>
                  </w:p>
                </w:tc>
              </w:sdtContent>
            </w:sdt>
            <w:sdt>
              <w:sdtPr>
                <w:tag w:val="_PLD_c7ed68982a194c52a3ba61882b189048"/>
                <w:id w:val="25153976"/>
                <w:lock w:val="sdtLocked"/>
              </w:sdtPr>
              <w:sdtContent>
                <w:tc>
                  <w:tcPr>
                    <w:tcW w:w="2099" w:type="dxa"/>
                    <w:vAlign w:val="center"/>
                  </w:tcPr>
                  <w:p>
                    <w:pPr>
                      <w:pStyle w:val="76"/>
                      <w:jc w:val="center"/>
                      <w:rPr>
                        <w:szCs w:val="21"/>
                      </w:rPr>
                    </w:pPr>
                    <w:r>
                      <w:rPr>
                        <w:rFonts w:hint="eastAsia"/>
                        <w:szCs w:val="21"/>
                      </w:rPr>
                      <w:t>本报告期末</w:t>
                    </w:r>
                  </w:p>
                </w:tc>
              </w:sdtContent>
            </w:sdt>
            <w:sdt>
              <w:sdtPr>
                <w:tag w:val="_PLD_47ecd04c8b4547359265315ddd51a277"/>
                <w:id w:val="25153977"/>
                <w:lock w:val="sdtLocked"/>
              </w:sdtPr>
              <w:sdtContent>
                <w:tc>
                  <w:tcPr>
                    <w:tcW w:w="1585" w:type="dxa"/>
                    <w:vAlign w:val="center"/>
                  </w:tcPr>
                  <w:p>
                    <w:pPr>
                      <w:pStyle w:val="76"/>
                      <w:jc w:val="center"/>
                      <w:rPr>
                        <w:szCs w:val="21"/>
                      </w:rPr>
                    </w:pPr>
                    <w:r>
                      <w:rPr>
                        <w:rFonts w:hint="eastAsia"/>
                        <w:szCs w:val="21"/>
                      </w:rPr>
                      <w:t>上年度末</w:t>
                    </w:r>
                  </w:p>
                </w:tc>
              </w:sdtContent>
            </w:sdt>
            <w:sdt>
              <w:sdtPr>
                <w:tag w:val="_PLD_d7987bdd020141d68b5e9af795a4bf39"/>
                <w:id w:val="25153978"/>
                <w:lock w:val="sdtLocked"/>
              </w:sdtPr>
              <w:sdtContent>
                <w:tc>
                  <w:tcPr>
                    <w:tcW w:w="1705" w:type="dxa"/>
                    <w:vAlign w:val="center"/>
                  </w:tcPr>
                  <w:p>
                    <w:pPr>
                      <w:pStyle w:val="76"/>
                      <w:jc w:val="center"/>
                      <w:rPr>
                        <w:szCs w:val="21"/>
                      </w:rPr>
                    </w:pPr>
                    <w:r>
                      <w:rPr>
                        <w:rFonts w:hint="eastAsia"/>
                        <w:szCs w:val="21"/>
                      </w:rPr>
                      <w:t>本报告期末比上年度末增减（%）</w:t>
                    </w:r>
                  </w:p>
                </w:tc>
              </w:sdtContent>
            </w:sdt>
            <w:sdt>
              <w:sdtPr>
                <w:tag w:val="_PLD_0a234168cf5443608cc3ae6d76104114"/>
                <w:id w:val="25153979"/>
                <w:lock w:val="sdtLocked"/>
              </w:sdtPr>
              <w:sdtContent>
                <w:tc>
                  <w:tcPr>
                    <w:tcW w:w="1283" w:type="dxa"/>
                    <w:vAlign w:val="center"/>
                  </w:tcPr>
                  <w:p>
                    <w:pPr>
                      <w:pStyle w:val="76"/>
                      <w:jc w:val="center"/>
                      <w:rPr>
                        <w:szCs w:val="21"/>
                      </w:rPr>
                    </w:pPr>
                    <w:r>
                      <w:rPr>
                        <w:rFonts w:hint="eastAsia"/>
                        <w:szCs w:val="21"/>
                      </w:rPr>
                      <w:t>变动原因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a90b95b8b504908a2f690a26ee6266f"/>
                <w:id w:val="25153980"/>
                <w:lock w:val="sdtLocked"/>
              </w:sdtPr>
              <w:sdtContent>
                <w:tc>
                  <w:tcPr>
                    <w:tcW w:w="2377" w:type="dxa"/>
                  </w:tcPr>
                  <w:p>
                    <w:pPr>
                      <w:pStyle w:val="76"/>
                      <w:rPr>
                        <w:szCs w:val="21"/>
                      </w:rPr>
                    </w:pPr>
                    <w:r>
                      <w:rPr>
                        <w:rFonts w:hint="eastAsia"/>
                        <w:szCs w:val="21"/>
                      </w:rPr>
                      <w:t>流动比率</w:t>
                    </w:r>
                  </w:p>
                </w:tc>
              </w:sdtContent>
            </w:sdt>
            <w:tc>
              <w:tcPr>
                <w:tcW w:w="2099" w:type="dxa"/>
                <w:vAlign w:val="center"/>
              </w:tcPr>
              <w:p>
                <w:pPr>
                  <w:pStyle w:val="76"/>
                  <w:jc w:val="right"/>
                  <w:rPr>
                    <w:szCs w:val="21"/>
                  </w:rPr>
                </w:pPr>
                <w:r>
                  <w:t>94.26%</w:t>
                </w:r>
              </w:p>
            </w:tc>
            <w:tc>
              <w:tcPr>
                <w:tcW w:w="1585" w:type="dxa"/>
                <w:vAlign w:val="center"/>
              </w:tcPr>
              <w:p>
                <w:pPr>
                  <w:pStyle w:val="76"/>
                  <w:jc w:val="right"/>
                  <w:rPr>
                    <w:szCs w:val="21"/>
                  </w:rPr>
                </w:pPr>
                <w:r>
                  <w:t>83.48%</w:t>
                </w:r>
              </w:p>
            </w:tc>
            <w:tc>
              <w:tcPr>
                <w:tcW w:w="1705" w:type="dxa"/>
                <w:vAlign w:val="center"/>
              </w:tcPr>
              <w:p>
                <w:pPr>
                  <w:pStyle w:val="76"/>
                  <w:jc w:val="right"/>
                  <w:rPr>
                    <w:szCs w:val="21"/>
                  </w:rPr>
                </w:pPr>
                <w:r>
                  <w:t>10.78</w:t>
                </w:r>
              </w:p>
            </w:tc>
            <w:tc>
              <w:tcPr>
                <w:tcW w:w="1283" w:type="dxa"/>
                <w:vMerge w:val="restart"/>
              </w:tcPr>
              <w:p>
                <w:pPr>
                  <w:pStyle w:val="76"/>
                  <w:rPr>
                    <w:sz w:val="18"/>
                    <w:szCs w:val="18"/>
                  </w:rPr>
                </w:pPr>
                <w:r>
                  <w:rPr>
                    <w:rFonts w:hint="eastAsia"/>
                    <w:sz w:val="18"/>
                    <w:szCs w:val="18"/>
                  </w:rPr>
                  <w:t>2018年上半年公司利润总额同比增长较大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43d4751cc04b02b98b48b1eb1e9cc5"/>
                <w:id w:val="25153981"/>
                <w:lock w:val="sdtLocked"/>
              </w:sdtPr>
              <w:sdtContent>
                <w:tc>
                  <w:tcPr>
                    <w:tcW w:w="2377" w:type="dxa"/>
                  </w:tcPr>
                  <w:p>
                    <w:pPr>
                      <w:pStyle w:val="76"/>
                      <w:rPr>
                        <w:szCs w:val="21"/>
                      </w:rPr>
                    </w:pPr>
                    <w:r>
                      <w:rPr>
                        <w:rFonts w:hint="eastAsia"/>
                        <w:szCs w:val="21"/>
                      </w:rPr>
                      <w:t>速动比率</w:t>
                    </w:r>
                  </w:p>
                </w:tc>
              </w:sdtContent>
            </w:sdt>
            <w:tc>
              <w:tcPr>
                <w:tcW w:w="2099" w:type="dxa"/>
                <w:vAlign w:val="center"/>
              </w:tcPr>
              <w:p>
                <w:pPr>
                  <w:pStyle w:val="76"/>
                  <w:jc w:val="right"/>
                  <w:rPr>
                    <w:szCs w:val="21"/>
                  </w:rPr>
                </w:pPr>
                <w:r>
                  <w:t>63.37%</w:t>
                </w:r>
              </w:p>
            </w:tc>
            <w:tc>
              <w:tcPr>
                <w:tcW w:w="1585" w:type="dxa"/>
                <w:vAlign w:val="center"/>
              </w:tcPr>
              <w:p>
                <w:pPr>
                  <w:pStyle w:val="76"/>
                  <w:jc w:val="right"/>
                  <w:rPr>
                    <w:szCs w:val="21"/>
                  </w:rPr>
                </w:pPr>
                <w:r>
                  <w:t>52.46%</w:t>
                </w:r>
              </w:p>
            </w:tc>
            <w:tc>
              <w:tcPr>
                <w:tcW w:w="1705" w:type="dxa"/>
                <w:vAlign w:val="center"/>
              </w:tcPr>
              <w:p>
                <w:pPr>
                  <w:pStyle w:val="76"/>
                  <w:jc w:val="right"/>
                  <w:rPr>
                    <w:szCs w:val="21"/>
                  </w:rPr>
                </w:pPr>
                <w:r>
                  <w:t>10.91</w:t>
                </w:r>
              </w:p>
            </w:tc>
            <w:tc>
              <w:tcPr>
                <w:tcW w:w="1283" w:type="dxa"/>
                <w:vMerge w:val="continue"/>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c9d45ac9f784a65bbcc4b9ee6497d79"/>
                <w:id w:val="25153982"/>
                <w:lock w:val="sdtLocked"/>
              </w:sdtPr>
              <w:sdtContent>
                <w:tc>
                  <w:tcPr>
                    <w:tcW w:w="2377" w:type="dxa"/>
                  </w:tcPr>
                  <w:p>
                    <w:pPr>
                      <w:pStyle w:val="76"/>
                      <w:rPr>
                        <w:szCs w:val="21"/>
                      </w:rPr>
                    </w:pPr>
                    <w:r>
                      <w:rPr>
                        <w:rFonts w:hint="eastAsia"/>
                        <w:szCs w:val="21"/>
                      </w:rPr>
                      <w:t>资产负债率（%）</w:t>
                    </w:r>
                  </w:p>
                </w:tc>
              </w:sdtContent>
            </w:sdt>
            <w:tc>
              <w:tcPr>
                <w:tcW w:w="2099" w:type="dxa"/>
                <w:vAlign w:val="center"/>
              </w:tcPr>
              <w:p>
                <w:pPr>
                  <w:pStyle w:val="76"/>
                  <w:jc w:val="right"/>
                  <w:rPr>
                    <w:szCs w:val="21"/>
                  </w:rPr>
                </w:pPr>
                <w:r>
                  <w:t>67.44</w:t>
                </w:r>
              </w:p>
            </w:tc>
            <w:tc>
              <w:tcPr>
                <w:tcW w:w="1585" w:type="dxa"/>
                <w:vAlign w:val="center"/>
              </w:tcPr>
              <w:p>
                <w:pPr>
                  <w:pStyle w:val="76"/>
                  <w:jc w:val="right"/>
                  <w:rPr>
                    <w:szCs w:val="21"/>
                  </w:rPr>
                </w:pPr>
                <w:r>
                  <w:t>68.80</w:t>
                </w:r>
              </w:p>
            </w:tc>
            <w:tc>
              <w:tcPr>
                <w:tcW w:w="1705" w:type="dxa"/>
                <w:vAlign w:val="center"/>
              </w:tcPr>
              <w:p>
                <w:pPr>
                  <w:pStyle w:val="76"/>
                  <w:jc w:val="right"/>
                  <w:rPr>
                    <w:szCs w:val="21"/>
                  </w:rPr>
                </w:pPr>
                <w:r>
                  <w:t>-1.36</w:t>
                </w:r>
              </w:p>
            </w:tc>
            <w:tc>
              <w:tcPr>
                <w:tcW w:w="1283" w:type="dxa"/>
                <w:vMerge w:val="continue"/>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1161f8aa3fa4dd0a9227db7b69ebf12"/>
                <w:id w:val="25153983"/>
                <w:lock w:val="sdtLocked"/>
              </w:sdtPr>
              <w:sdtContent>
                <w:tc>
                  <w:tcPr>
                    <w:tcW w:w="2377" w:type="dxa"/>
                  </w:tcPr>
                  <w:p>
                    <w:pPr>
                      <w:pStyle w:val="76"/>
                      <w:rPr>
                        <w:szCs w:val="21"/>
                      </w:rPr>
                    </w:pPr>
                    <w:r>
                      <w:rPr>
                        <w:rFonts w:hint="eastAsia"/>
                        <w:szCs w:val="21"/>
                      </w:rPr>
                      <w:t>贷款偿还率（%）</w:t>
                    </w:r>
                  </w:p>
                </w:tc>
              </w:sdtContent>
            </w:sdt>
            <w:tc>
              <w:tcPr>
                <w:tcW w:w="2099" w:type="dxa"/>
                <w:vAlign w:val="center"/>
              </w:tcPr>
              <w:p>
                <w:pPr>
                  <w:pStyle w:val="76"/>
                  <w:jc w:val="right"/>
                  <w:rPr>
                    <w:szCs w:val="21"/>
                  </w:rPr>
                </w:pPr>
                <w:r>
                  <w:rPr>
                    <w:rFonts w:hint="eastAsia"/>
                    <w:szCs w:val="21"/>
                  </w:rPr>
                  <w:t>100.00</w:t>
                </w:r>
              </w:p>
            </w:tc>
            <w:tc>
              <w:tcPr>
                <w:tcW w:w="1585" w:type="dxa"/>
                <w:vAlign w:val="center"/>
              </w:tcPr>
              <w:p>
                <w:pPr>
                  <w:pStyle w:val="76"/>
                  <w:jc w:val="right"/>
                  <w:rPr>
                    <w:szCs w:val="21"/>
                  </w:rPr>
                </w:pPr>
                <w:r>
                  <w:rPr>
                    <w:rFonts w:hint="eastAsia"/>
                    <w:szCs w:val="21"/>
                  </w:rPr>
                  <w:t>100.00</w:t>
                </w:r>
              </w:p>
            </w:tc>
            <w:tc>
              <w:tcPr>
                <w:tcW w:w="1705" w:type="dxa"/>
                <w:vAlign w:val="center"/>
              </w:tcPr>
              <w:p>
                <w:pPr>
                  <w:pStyle w:val="76"/>
                  <w:jc w:val="right"/>
                  <w:rPr>
                    <w:szCs w:val="21"/>
                  </w:rPr>
                </w:pPr>
              </w:p>
            </w:tc>
            <w:tc>
              <w:tcPr>
                <w:tcW w:w="1283" w:type="dxa"/>
                <w:vMerge w:val="continue"/>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377" w:type="dxa"/>
                <w:vAlign w:val="center"/>
              </w:tcPr>
              <w:p>
                <w:pPr>
                  <w:pStyle w:val="76"/>
                  <w:jc w:val="center"/>
                  <w:rPr>
                    <w:szCs w:val="21"/>
                  </w:rPr>
                </w:pPr>
              </w:p>
            </w:tc>
            <w:sdt>
              <w:sdtPr>
                <w:tag w:val="_PLD_cd01cbf2064441c59f0d55273cf5edd8"/>
                <w:id w:val="25153984"/>
                <w:lock w:val="sdtLocked"/>
              </w:sdtPr>
              <w:sdtContent>
                <w:tc>
                  <w:tcPr>
                    <w:tcW w:w="2099" w:type="dxa"/>
                    <w:vAlign w:val="center"/>
                  </w:tcPr>
                  <w:p>
                    <w:pPr>
                      <w:pStyle w:val="76"/>
                      <w:kinsoku w:val="0"/>
                      <w:overflowPunct w:val="0"/>
                      <w:autoSpaceDE w:val="0"/>
                      <w:autoSpaceDN w:val="0"/>
                      <w:adjustRightInd w:val="0"/>
                      <w:snapToGrid w:val="0"/>
                      <w:jc w:val="center"/>
                      <w:rPr>
                        <w:szCs w:val="21"/>
                      </w:rPr>
                    </w:pPr>
                    <w:r>
                      <w:rPr>
                        <w:rFonts w:hint="eastAsia"/>
                        <w:szCs w:val="21"/>
                      </w:rPr>
                      <w:t>本报告期</w:t>
                    </w:r>
                  </w:p>
                  <w:p>
                    <w:pPr>
                      <w:pStyle w:val="76"/>
                      <w:jc w:val="center"/>
                      <w:rPr>
                        <w:szCs w:val="21"/>
                      </w:rPr>
                    </w:pPr>
                    <w:r>
                      <w:rPr>
                        <w:rFonts w:hint="eastAsia"/>
                        <w:szCs w:val="21"/>
                      </w:rPr>
                      <w:t>（1-6月）</w:t>
                    </w:r>
                  </w:p>
                </w:tc>
              </w:sdtContent>
            </w:sdt>
            <w:sdt>
              <w:sdtPr>
                <w:tag w:val="_PLD_d9f41572fdf9470db9c0bdb0e5965c99"/>
                <w:id w:val="25153985"/>
                <w:lock w:val="sdtLocked"/>
              </w:sdtPr>
              <w:sdtContent>
                <w:tc>
                  <w:tcPr>
                    <w:tcW w:w="1585" w:type="dxa"/>
                    <w:vAlign w:val="center"/>
                  </w:tcPr>
                  <w:p>
                    <w:pPr>
                      <w:pStyle w:val="76"/>
                      <w:jc w:val="center"/>
                      <w:rPr>
                        <w:szCs w:val="21"/>
                      </w:rPr>
                    </w:pPr>
                    <w:r>
                      <w:rPr>
                        <w:rFonts w:hint="eastAsia"/>
                        <w:szCs w:val="21"/>
                      </w:rPr>
                      <w:t>上年同期</w:t>
                    </w:r>
                  </w:p>
                </w:tc>
              </w:sdtContent>
            </w:sdt>
            <w:sdt>
              <w:sdtPr>
                <w:tag w:val="_PLD_56d0ed11f2ac430eba65cfcf410fb79a"/>
                <w:id w:val="25153986"/>
                <w:lock w:val="sdtLocked"/>
              </w:sdtPr>
              <w:sdtContent>
                <w:tc>
                  <w:tcPr>
                    <w:tcW w:w="1705" w:type="dxa"/>
                    <w:vAlign w:val="center"/>
                  </w:tcPr>
                  <w:p>
                    <w:pPr>
                      <w:pStyle w:val="76"/>
                      <w:jc w:val="center"/>
                      <w:rPr>
                        <w:szCs w:val="21"/>
                      </w:rPr>
                    </w:pPr>
                    <w:r>
                      <w:rPr>
                        <w:szCs w:val="21"/>
                      </w:rPr>
                      <w:t>本报告期比上年同期增减(%)</w:t>
                    </w:r>
                  </w:p>
                </w:tc>
              </w:sdtContent>
            </w:sdt>
            <w:sdt>
              <w:sdtPr>
                <w:tag w:val="_PLD_55052107e6074393811b3d17d8f0571a"/>
                <w:id w:val="25153987"/>
                <w:lock w:val="sdtLocked"/>
              </w:sdtPr>
              <w:sdtContent>
                <w:tc>
                  <w:tcPr>
                    <w:tcW w:w="1283" w:type="dxa"/>
                    <w:vAlign w:val="center"/>
                  </w:tcPr>
                  <w:p>
                    <w:pPr>
                      <w:pStyle w:val="76"/>
                      <w:jc w:val="center"/>
                      <w:rPr>
                        <w:szCs w:val="21"/>
                      </w:rPr>
                    </w:pPr>
                    <w:r>
                      <w:rPr>
                        <w:rFonts w:hint="eastAsia"/>
                        <w:szCs w:val="21"/>
                      </w:rPr>
                      <w:t>变动原因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sdt>
              <w:sdtPr>
                <w:tag w:val="_PLD_bccf7ac01f4d434baa485db49ed2cd18"/>
                <w:id w:val="25153988"/>
                <w:lock w:val="sdtLocked"/>
              </w:sdtPr>
              <w:sdtContent>
                <w:tc>
                  <w:tcPr>
                    <w:tcW w:w="2377" w:type="dxa"/>
                  </w:tcPr>
                  <w:p>
                    <w:pPr>
                      <w:pStyle w:val="76"/>
                      <w:rPr>
                        <w:szCs w:val="21"/>
                      </w:rPr>
                    </w:pPr>
                    <w:r>
                      <w:rPr>
                        <w:szCs w:val="21"/>
                      </w:rPr>
                      <w:t>EBITDA利息保障倍数</w:t>
                    </w:r>
                  </w:p>
                </w:tc>
              </w:sdtContent>
            </w:sdt>
            <w:tc>
              <w:tcPr>
                <w:tcW w:w="2099" w:type="dxa"/>
                <w:vAlign w:val="center"/>
              </w:tcPr>
              <w:p>
                <w:pPr>
                  <w:pStyle w:val="76"/>
                  <w:ind w:right="840"/>
                  <w:jc w:val="right"/>
                  <w:rPr>
                    <w:szCs w:val="21"/>
                  </w:rPr>
                </w:pPr>
                <w:r>
                  <w:rPr>
                    <w:rFonts w:hint="eastAsia"/>
                    <w:szCs w:val="21"/>
                  </w:rPr>
                  <w:t>20.82</w:t>
                </w:r>
              </w:p>
            </w:tc>
            <w:tc>
              <w:tcPr>
                <w:tcW w:w="1585" w:type="dxa"/>
                <w:vAlign w:val="center"/>
              </w:tcPr>
              <w:p>
                <w:pPr>
                  <w:pStyle w:val="76"/>
                  <w:jc w:val="right"/>
                  <w:rPr>
                    <w:szCs w:val="21"/>
                  </w:rPr>
                </w:pPr>
                <w:r>
                  <w:rPr>
                    <w:rFonts w:hint="eastAsia"/>
                    <w:szCs w:val="21"/>
                  </w:rPr>
                  <w:t>11.12</w:t>
                </w:r>
              </w:p>
            </w:tc>
            <w:tc>
              <w:tcPr>
                <w:tcW w:w="1705" w:type="dxa"/>
                <w:vAlign w:val="center"/>
              </w:tcPr>
              <w:p>
                <w:pPr>
                  <w:pStyle w:val="76"/>
                  <w:jc w:val="right"/>
                  <w:rPr>
                    <w:szCs w:val="21"/>
                  </w:rPr>
                </w:pPr>
                <w:r>
                  <w:rPr>
                    <w:rFonts w:hint="eastAsia"/>
                    <w:szCs w:val="21"/>
                  </w:rPr>
                  <w:t xml:space="preserve">87.23 </w:t>
                </w:r>
              </w:p>
              <w:p>
                <w:pPr>
                  <w:pStyle w:val="76"/>
                  <w:jc w:val="right"/>
                  <w:rPr>
                    <w:szCs w:val="21"/>
                  </w:rPr>
                </w:pPr>
              </w:p>
            </w:tc>
            <w:tc>
              <w:tcPr>
                <w:tcW w:w="1283" w:type="dxa"/>
              </w:tcPr>
              <w:p>
                <w:pPr>
                  <w:pStyle w:val="76"/>
                  <w:rPr>
                    <w:sz w:val="18"/>
                    <w:szCs w:val="18"/>
                  </w:rPr>
                </w:pPr>
                <w:r>
                  <w:rPr>
                    <w:sz w:val="18"/>
                    <w:szCs w:val="18"/>
                  </w:rPr>
                  <w:t>2018年上半年公司利润总额同比增长较大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8136c2ae4b45de8464e961cd743a59"/>
                <w:id w:val="25153989"/>
                <w:lock w:val="sdtLocked"/>
              </w:sdtPr>
              <w:sdtContent>
                <w:tc>
                  <w:tcPr>
                    <w:tcW w:w="2377" w:type="dxa"/>
                  </w:tcPr>
                  <w:p>
                    <w:pPr>
                      <w:pStyle w:val="76"/>
                      <w:rPr>
                        <w:szCs w:val="21"/>
                      </w:rPr>
                    </w:pPr>
                    <w:r>
                      <w:rPr>
                        <w:rFonts w:hint="eastAsia"/>
                        <w:szCs w:val="21"/>
                      </w:rPr>
                      <w:t>利息偿付率（%）</w:t>
                    </w:r>
                  </w:p>
                </w:tc>
              </w:sdtContent>
            </w:sdt>
            <w:tc>
              <w:tcPr>
                <w:tcW w:w="2099" w:type="dxa"/>
                <w:vAlign w:val="center"/>
              </w:tcPr>
              <w:p>
                <w:pPr>
                  <w:pStyle w:val="76"/>
                  <w:jc w:val="right"/>
                  <w:rPr>
                    <w:szCs w:val="21"/>
                  </w:rPr>
                </w:pPr>
                <w:r>
                  <w:rPr>
                    <w:rFonts w:hint="eastAsia"/>
                    <w:szCs w:val="21"/>
                  </w:rPr>
                  <w:t>100.00</w:t>
                </w:r>
              </w:p>
            </w:tc>
            <w:tc>
              <w:tcPr>
                <w:tcW w:w="1585" w:type="dxa"/>
                <w:vAlign w:val="center"/>
              </w:tcPr>
              <w:p>
                <w:pPr>
                  <w:pStyle w:val="76"/>
                  <w:jc w:val="right"/>
                  <w:rPr>
                    <w:szCs w:val="21"/>
                  </w:rPr>
                </w:pPr>
                <w:r>
                  <w:rPr>
                    <w:rFonts w:hint="eastAsia"/>
                    <w:szCs w:val="21"/>
                  </w:rPr>
                  <w:t>100.00</w:t>
                </w:r>
              </w:p>
            </w:tc>
            <w:tc>
              <w:tcPr>
                <w:tcW w:w="1705" w:type="dxa"/>
                <w:vAlign w:val="center"/>
              </w:tcPr>
              <w:p>
                <w:pPr>
                  <w:pStyle w:val="76"/>
                  <w:jc w:val="right"/>
                  <w:rPr>
                    <w:szCs w:val="21"/>
                  </w:rPr>
                </w:pPr>
              </w:p>
            </w:tc>
            <w:tc>
              <w:tcPr>
                <w:tcW w:w="1283" w:type="dxa"/>
              </w:tcPr>
              <w:p>
                <w:pPr>
                  <w:pStyle w:val="76"/>
                  <w:jc w:val="right"/>
                  <w:rPr>
                    <w:szCs w:val="21"/>
                  </w:rPr>
                </w:pPr>
              </w:p>
            </w:tc>
          </w:tr>
        </w:tbl>
        <w:p>
          <w:pPr>
            <w:pStyle w:val="76"/>
          </w:pPr>
        </w:p>
        <w:p>
          <w:pPr>
            <w:pStyle w:val="76"/>
          </w:pPr>
        </w:p>
      </w:sdtContent>
    </w:sdt>
    <w:sdt>
      <w:sdtPr>
        <w:rPr>
          <w:rFonts w:ascii="宋体" w:hAnsi="宋体" w:cs="宋体"/>
          <w:b w:val="0"/>
          <w:bCs w:val="0"/>
          <w:kern w:val="0"/>
          <w:szCs w:val="24"/>
        </w:rPr>
        <w:alias w:val="模块:关于逾期债项的说明"/>
        <w:tag w:val="_SEC_db8f5be58baf40d0bb47b6b45fabbfae"/>
        <w:id w:val="25153992"/>
        <w:lock w:val="sdtLocked"/>
        <w:placeholder>
          <w:docPart w:val="GBC22222222222222222222222222222"/>
        </w:placeholder>
      </w:sdtPr>
      <w:sdtEndPr>
        <w:rPr>
          <w:rFonts w:hint="eastAsia" w:ascii="宋体" w:hAnsi="宋体" w:cs="宋体"/>
          <w:b w:val="0"/>
          <w:bCs w:val="0"/>
          <w:kern w:val="0"/>
          <w:szCs w:val="24"/>
        </w:rPr>
      </w:sdtEndPr>
      <w:sdtContent>
        <w:p>
          <w:pPr>
            <w:pStyle w:val="78"/>
            <w:numPr>
              <w:ilvl w:val="0"/>
              <w:numId w:val="33"/>
            </w:numPr>
          </w:pPr>
          <w:r>
            <w:t>关于逾期债项的说明</w:t>
          </w:r>
        </w:p>
        <w:sdt>
          <w:sdtPr>
            <w:rPr>
              <w:rFonts w:hint="eastAsia"/>
            </w:rPr>
            <w:alias w:val="是否适用：关于逾期债项的说明 [双击切换]"/>
            <w:tag w:val="_GBC_e709a54869bd438eab4c79ff3c52d7d0"/>
            <w:id w:val="25153991"/>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hint="eastAsia" w:ascii="宋体" w:hAnsi="宋体" w:cs="宋体"/>
          <w:b w:val="0"/>
          <w:bCs w:val="0"/>
          <w:kern w:val="0"/>
          <w:szCs w:val="24"/>
        </w:rPr>
        <w:alias w:val="模块:公司其他债券和债务融资工具的付息兑付情况"/>
        <w:tag w:val="_SEC_5c811266e4944b658f41678ea9470ec2"/>
        <w:id w:val="25153994"/>
        <w:lock w:val="sdtLocked"/>
        <w:placeholder>
          <w:docPart w:val="GBC22222222222222222222222222222"/>
        </w:placeholder>
      </w:sdtPr>
      <w:sdtEndPr>
        <w:rPr>
          <w:rFonts w:hint="eastAsia" w:ascii="宋体" w:hAnsi="宋体" w:cs="宋体"/>
          <w:b w:val="0"/>
          <w:bCs w:val="0"/>
          <w:kern w:val="0"/>
          <w:szCs w:val="24"/>
          <w:u w:val="single"/>
        </w:rPr>
      </w:sdtEndPr>
      <w:sdtContent>
        <w:p>
          <w:pPr>
            <w:pStyle w:val="78"/>
            <w:numPr>
              <w:ilvl w:val="0"/>
              <w:numId w:val="33"/>
            </w:numPr>
            <w:rPr>
              <w:bCs w:val="0"/>
            </w:rPr>
          </w:pPr>
          <w:r>
            <w:rPr>
              <w:rFonts w:hint="eastAsia"/>
              <w:bCs w:val="0"/>
            </w:rPr>
            <w:t>公司其他债券和债务融资工具的付息兑付情况</w:t>
          </w:r>
        </w:p>
        <w:sdt>
          <w:sdtPr>
            <w:rPr>
              <w:rFonts w:hint="eastAsia" w:hAnsi="Arial" w:cs="Times New Roman"/>
              <w:bCs/>
              <w:kern w:val="2"/>
              <w:szCs w:val="21"/>
            </w:rPr>
            <w:alias w:val="是否适用：公司其他债券和债务融资工具的付息兑付情况[双击切换]"/>
            <w:tag w:val="_GBC_958a7df12c3b42c893efe8bec80a16f7"/>
            <w:id w:val="25153993"/>
            <w:lock w:val="sdtContentLocked"/>
            <w:placeholder>
              <w:docPart w:val="GBC22222222222222222222222222222"/>
            </w:placeholder>
          </w:sdtPr>
          <w:sdtEndPr>
            <w:rPr>
              <w:rFonts w:hint="eastAsia" w:hAnsi="Arial" w:cs="Times New Roman"/>
              <w:bCs/>
              <w:kern w:val="2"/>
              <w:szCs w:val="21"/>
            </w:rPr>
          </w:sdtEndPr>
          <w:sdtContent>
            <w:p>
              <w:pPr>
                <w:pStyle w:val="76"/>
                <w:rPr>
                  <w:u w:val="single"/>
                </w:rPr>
              </w:pPr>
              <w:r>
                <w:rPr>
                  <w:rFonts w:cs="Times New Roman"/>
                  <w:bCs/>
                  <w:kern w:val="2"/>
                  <w:szCs w:val="21"/>
                </w:rPr>
                <w:fldChar w:fldCharType="begin"/>
              </w:r>
              <w:r>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p>
          <w:pPr>
            <w:pStyle w:val="76"/>
            <w:rPr>
              <w:u w:val="single"/>
            </w:rPr>
          </w:pPr>
        </w:p>
      </w:sdtContent>
    </w:sdt>
    <w:p>
      <w:pPr>
        <w:pStyle w:val="76"/>
        <w:rPr>
          <w:szCs w:val="21"/>
        </w:rPr>
      </w:pPr>
    </w:p>
    <w:sdt>
      <w:sdtPr>
        <w:rPr>
          <w:rFonts w:hint="eastAsia" w:ascii="宋体" w:hAnsi="宋体" w:cs="宋体"/>
          <w:b w:val="0"/>
          <w:bCs w:val="0"/>
          <w:kern w:val="0"/>
          <w:szCs w:val="24"/>
        </w:rPr>
        <w:alias w:val="模块:公司报告期内的银行授信情况"/>
        <w:tag w:val="_SEC_f24bc2aff97343f3a5e057d834c2cb94"/>
        <w:id w:val="25153997"/>
        <w:lock w:val="sdtLocked"/>
        <w:placeholder>
          <w:docPart w:val="GBC22222222222222222222222222222"/>
        </w:placeholder>
      </w:sdtPr>
      <w:sdtEndPr>
        <w:rPr>
          <w:rFonts w:hint="eastAsia" w:ascii="宋体" w:hAnsi="宋体" w:cs="宋体"/>
          <w:b w:val="0"/>
          <w:bCs w:val="0"/>
          <w:kern w:val="0"/>
          <w:szCs w:val="24"/>
          <w:u w:val="single"/>
        </w:rPr>
      </w:sdtEndPr>
      <w:sdtContent>
        <w:p>
          <w:pPr>
            <w:pStyle w:val="78"/>
            <w:numPr>
              <w:ilvl w:val="0"/>
              <w:numId w:val="33"/>
            </w:numPr>
            <w:rPr>
              <w:bCs w:val="0"/>
            </w:rPr>
          </w:pPr>
          <w:r>
            <w:rPr>
              <w:rFonts w:hint="eastAsia"/>
              <w:bCs w:val="0"/>
              <w:color w:val="FFFFFF" w:themeColor="background1"/>
            </w:rPr>
            <w:t>公司</w:t>
          </w:r>
          <w:r>
            <w:rPr>
              <w:rFonts w:hint="eastAsia"/>
              <w:bCs w:val="0"/>
            </w:rPr>
            <w:t>报告期内的银行授信情况</w:t>
          </w:r>
        </w:p>
        <w:sdt>
          <w:sdtPr>
            <w:rPr>
              <w:rFonts w:hint="eastAsia" w:hAnsi="Arial" w:cs="Times New Roman"/>
              <w:bCs/>
              <w:kern w:val="2"/>
              <w:szCs w:val="21"/>
            </w:rPr>
            <w:alias w:val="是否适用：公司报告期内的银行授信情况[双击切换]"/>
            <w:tag w:val="_GBC_e46fb1f27d3f4ae689bc03e1df0b1b0a"/>
            <w:id w:val="25153995"/>
            <w:lock w:val="sdtContentLocked"/>
            <w:placeholder>
              <w:docPart w:val="GBC22222222222222222222222222222"/>
            </w:placeholder>
          </w:sdtPr>
          <w:sdtEndPr>
            <w:rPr>
              <w:rFonts w:hint="eastAsia" w:hAnsi="Arial" w:cs="Times New Roman"/>
              <w:bCs/>
              <w:kern w:val="2"/>
              <w:szCs w:val="21"/>
            </w:rPr>
          </w:sdtEndPr>
          <w:sdtContent>
            <w:p>
              <w:pPr>
                <w:pStyle w:val="76"/>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rPr>
            <w:alias w:val="公司报告期内的银行授信情况"/>
            <w:tag w:val="_GBC_7e0790c89c244ab9897b220f20df4712"/>
            <w:id w:val="191993582"/>
            <w:lock w:val="sdtLocked"/>
          </w:sdtPr>
          <w:sdtEndPr>
            <w:rPr>
              <w:rFonts w:hint="eastAsia" w:hAnsi="Arial" w:cs="Times New Roman"/>
              <w:bCs/>
              <w:kern w:val="2"/>
            </w:rPr>
          </w:sdtEndPr>
          <w:sdtContent>
            <w:p>
              <w:pPr>
                <w:rPr>
                  <w:rFonts w:hAnsi="Arial" w:cs="Times New Roman"/>
                  <w:bCs/>
                  <w:kern w:val="2"/>
                </w:rPr>
              </w:pPr>
              <w:r>
                <w:rPr>
                  <w:rFonts w:hAnsi="Arial" w:cs="Times New Roman"/>
                  <w:bCs/>
                  <w:kern w:val="2"/>
                </w:rPr>
                <w:t>2018年公司共向18家银行申请总额不超过201.58亿元人民币综合授信，实际使用情况如下：</w:t>
              </w:r>
            </w:p>
            <w:p>
              <w:pPr>
                <w:rPr>
                  <w:rFonts w:hAnsi="Arial" w:cs="Times New Roman"/>
                  <w:bCs/>
                  <w:kern w:val="2"/>
                </w:rPr>
              </w:pPr>
              <w:r>
                <w:rPr>
                  <w:rFonts w:hAnsi="Arial" w:cs="Times New Roman"/>
                  <w:bCs/>
                  <w:kern w:val="2"/>
                </w:rPr>
                <w:t>1、按类别分，其中：</w:t>
              </w:r>
            </w:p>
            <w:p>
              <w:pPr>
                <w:rPr>
                  <w:rFonts w:hAnsi="Arial" w:cs="Times New Roman"/>
                  <w:bCs/>
                  <w:kern w:val="2"/>
                </w:rPr>
              </w:pPr>
              <w:r>
                <w:rPr>
                  <w:rFonts w:hint="eastAsia" w:hAnsi="Arial" w:cs="Times New Roman"/>
                  <w:bCs/>
                  <w:kern w:val="2"/>
                </w:rPr>
                <w:t>①</w:t>
              </w:r>
              <w:r>
                <w:rPr>
                  <w:rFonts w:hAnsi="Arial" w:cs="Times New Roman"/>
                  <w:bCs/>
                  <w:kern w:val="2"/>
                </w:rPr>
                <w:t xml:space="preserve"> 贷款 65.44 亿元，占比 32.46%；                                            </w:t>
              </w:r>
            </w:p>
            <w:p>
              <w:pPr>
                <w:rPr>
                  <w:rFonts w:hAnsi="Arial" w:cs="Times New Roman"/>
                  <w:bCs/>
                  <w:kern w:val="2"/>
                </w:rPr>
              </w:pPr>
              <w:r>
                <w:rPr>
                  <w:rFonts w:hint="eastAsia" w:hAnsi="Arial" w:cs="Times New Roman"/>
                  <w:bCs/>
                  <w:kern w:val="2"/>
                </w:rPr>
                <w:t>②</w:t>
              </w:r>
              <w:r>
                <w:rPr>
                  <w:rFonts w:hAnsi="Arial" w:cs="Times New Roman"/>
                  <w:bCs/>
                  <w:kern w:val="2"/>
                </w:rPr>
                <w:t xml:space="preserve"> 国内、国际贸易融资 17.81亿元，占比 8.84%；                             </w:t>
              </w:r>
            </w:p>
            <w:p>
              <w:pPr>
                <w:rPr>
                  <w:rFonts w:hAnsi="Arial" w:cs="Times New Roman"/>
                  <w:bCs/>
                  <w:kern w:val="2"/>
                </w:rPr>
              </w:pPr>
              <w:r>
                <w:rPr>
                  <w:rFonts w:hint="eastAsia" w:hAnsi="Arial" w:cs="Times New Roman"/>
                  <w:bCs/>
                  <w:kern w:val="2"/>
                </w:rPr>
                <w:t>③</w:t>
              </w:r>
              <w:r>
                <w:rPr>
                  <w:rFonts w:hAnsi="Arial" w:cs="Times New Roman"/>
                  <w:bCs/>
                  <w:kern w:val="2"/>
                </w:rPr>
                <w:t xml:space="preserve"> 票据9.1 亿元，占比4.51%；</w:t>
              </w:r>
            </w:p>
            <w:p>
              <w:pPr>
                <w:rPr>
                  <w:rFonts w:hAnsi="Arial" w:cs="Times New Roman"/>
                  <w:bCs/>
                  <w:kern w:val="2"/>
                </w:rPr>
              </w:pPr>
              <w:r>
                <w:rPr>
                  <w:rFonts w:hint="eastAsia" w:hAnsi="Arial" w:cs="Times New Roman"/>
                  <w:bCs/>
                  <w:kern w:val="2"/>
                </w:rPr>
                <w:t>④</w:t>
              </w:r>
              <w:r>
                <w:rPr>
                  <w:rFonts w:hAnsi="Arial" w:cs="Times New Roman"/>
                  <w:bCs/>
                  <w:kern w:val="2"/>
                </w:rPr>
                <w:t xml:space="preserve"> 信用证 20.39 亿元，占比 10.12%；</w:t>
              </w:r>
            </w:p>
            <w:p>
              <w:pPr>
                <w:rPr>
                  <w:rFonts w:hAnsi="Arial" w:cs="Times New Roman"/>
                  <w:bCs/>
                  <w:kern w:val="2"/>
                </w:rPr>
              </w:pPr>
              <w:r>
                <w:rPr>
                  <w:rFonts w:hint="eastAsia" w:hAnsi="Arial" w:cs="Times New Roman"/>
                  <w:bCs/>
                  <w:kern w:val="2"/>
                </w:rPr>
                <w:t>⑤</w:t>
              </w:r>
              <w:r>
                <w:rPr>
                  <w:rFonts w:hAnsi="Arial" w:cs="Times New Roman"/>
                  <w:bCs/>
                  <w:kern w:val="2"/>
                </w:rPr>
                <w:t xml:space="preserve"> 未用余额 88.84亿元，占比 44.07%。经银行同意，后续仍可滚动使用。</w:t>
              </w:r>
            </w:p>
            <w:p>
              <w:pPr>
                <w:rPr>
                  <w:rFonts w:hAnsi="Arial" w:cs="Times New Roman"/>
                  <w:bCs/>
                  <w:kern w:val="2"/>
                </w:rPr>
              </w:pPr>
            </w:p>
            <w:p>
              <w:pPr>
                <w:rPr>
                  <w:rFonts w:hAnsi="Arial" w:cs="Times New Roman"/>
                  <w:bCs/>
                  <w:kern w:val="2"/>
                </w:rPr>
              </w:pPr>
              <w:r>
                <w:rPr>
                  <w:rFonts w:hAnsi="Arial" w:cs="Times New Roman"/>
                  <w:bCs/>
                  <w:kern w:val="2"/>
                </w:rPr>
                <w:t>2、按银行分，已用金额占比的前五家银行为：</w:t>
              </w:r>
            </w:p>
            <w:p>
              <w:pPr>
                <w:rPr>
                  <w:rFonts w:hAnsi="Arial" w:cs="Times New Roman"/>
                  <w:bCs/>
                  <w:kern w:val="2"/>
                </w:rPr>
              </w:pPr>
              <w:r>
                <w:rPr>
                  <w:rFonts w:hint="eastAsia" w:hAnsi="Arial" w:cs="Times New Roman"/>
                  <w:bCs/>
                  <w:kern w:val="2"/>
                </w:rPr>
                <w:t>①</w:t>
              </w:r>
              <w:r>
                <w:rPr>
                  <w:rFonts w:hAnsi="Arial" w:cs="Times New Roman"/>
                  <w:bCs/>
                  <w:kern w:val="2"/>
                </w:rPr>
                <w:t xml:space="preserve"> 国家开发银行广西分行19.85 亿元，占比9.85%；</w:t>
              </w:r>
            </w:p>
            <w:p>
              <w:pPr>
                <w:rPr>
                  <w:rFonts w:hAnsi="Arial" w:cs="Times New Roman"/>
                  <w:bCs/>
                  <w:kern w:val="2"/>
                </w:rPr>
              </w:pPr>
              <w:r>
                <w:rPr>
                  <w:rFonts w:hint="eastAsia" w:hAnsi="Arial" w:cs="Times New Roman"/>
                  <w:bCs/>
                  <w:kern w:val="2"/>
                </w:rPr>
                <w:t>②</w:t>
              </w:r>
              <w:r>
                <w:rPr>
                  <w:rFonts w:hAnsi="Arial" w:cs="Times New Roman"/>
                  <w:bCs/>
                  <w:kern w:val="2"/>
                </w:rPr>
                <w:t xml:space="preserve"> 中国银行16.51亿元，占比8.19%；</w:t>
              </w:r>
            </w:p>
            <w:p>
              <w:pPr>
                <w:rPr>
                  <w:rFonts w:hAnsi="Arial" w:cs="Times New Roman"/>
                  <w:bCs/>
                  <w:kern w:val="2"/>
                </w:rPr>
              </w:pPr>
              <w:r>
                <w:rPr>
                  <w:rFonts w:hint="eastAsia" w:hAnsi="Arial" w:cs="Times New Roman"/>
                  <w:bCs/>
                  <w:kern w:val="2"/>
                </w:rPr>
                <w:t>③</w:t>
              </w:r>
              <w:r>
                <w:rPr>
                  <w:rFonts w:hAnsi="Arial" w:cs="Times New Roman"/>
                  <w:bCs/>
                  <w:kern w:val="2"/>
                </w:rPr>
                <w:t xml:space="preserve"> 工商银行15.06  亿元，占比7.47%；</w:t>
              </w:r>
            </w:p>
            <w:p>
              <w:pPr>
                <w:rPr>
                  <w:rFonts w:hAnsi="Arial" w:cs="Times New Roman"/>
                  <w:bCs/>
                  <w:kern w:val="2"/>
                </w:rPr>
              </w:pPr>
              <w:r>
                <w:rPr>
                  <w:rFonts w:hint="eastAsia" w:hAnsi="Arial" w:cs="Times New Roman"/>
                  <w:bCs/>
                  <w:kern w:val="2"/>
                </w:rPr>
                <w:t>④</w:t>
              </w:r>
              <w:r>
                <w:rPr>
                  <w:rFonts w:hAnsi="Arial" w:cs="Times New Roman"/>
                  <w:bCs/>
                  <w:kern w:val="2"/>
                </w:rPr>
                <w:t xml:space="preserve"> 农业银行13.24亿元，占比6.57%；</w:t>
              </w:r>
            </w:p>
            <w:p>
              <w:pPr>
                <w:rPr>
                  <w:u w:val="single"/>
                </w:rPr>
              </w:pPr>
              <w:r>
                <w:rPr>
                  <w:rFonts w:hint="eastAsia" w:hAnsi="Arial" w:cs="Times New Roman"/>
                  <w:bCs/>
                  <w:kern w:val="2"/>
                </w:rPr>
                <w:t>⑤</w:t>
              </w:r>
              <w:r>
                <w:rPr>
                  <w:rFonts w:hAnsi="Arial" w:cs="Times New Roman"/>
                  <w:bCs/>
                  <w:kern w:val="2"/>
                </w:rPr>
                <w:t xml:space="preserve"> 北部湾银行9.32亿元，占比4.62%。</w:t>
              </w:r>
            </w:p>
          </w:sdtContent>
        </w:sdt>
        <w:p>
          <w:pPr>
            <w:pStyle w:val="76"/>
            <w:rPr>
              <w:u w:val="single"/>
            </w:rPr>
          </w:pPr>
        </w:p>
      </w:sdtContent>
    </w:sdt>
    <w:p>
      <w:pPr>
        <w:pStyle w:val="76"/>
        <w:rPr>
          <w:szCs w:val="21"/>
        </w:rPr>
      </w:pPr>
    </w:p>
    <w:sdt>
      <w:sdtPr>
        <w:rPr>
          <w:rFonts w:hint="eastAsia" w:ascii="宋体" w:hAnsi="宋体" w:cs="宋体"/>
          <w:b w:val="0"/>
          <w:bCs w:val="0"/>
          <w:kern w:val="0"/>
          <w:szCs w:val="24"/>
        </w:rPr>
        <w:alias w:val="模块:公司报告期内执行公司债券募集说明书相关约定或承诺的情况"/>
        <w:tag w:val="_SEC_d698a0db75e24d35ab5e27f84e26a9a2"/>
        <w:id w:val="25154000"/>
        <w:lock w:val="sdtLocked"/>
        <w:placeholder>
          <w:docPart w:val="GBC22222222222222222222222222222"/>
        </w:placeholder>
      </w:sdtPr>
      <w:sdtEndPr>
        <w:rPr>
          <w:rFonts w:hint="eastAsia" w:ascii="宋体" w:hAnsi="宋体" w:cs="宋体"/>
          <w:b w:val="0"/>
          <w:bCs w:val="0"/>
          <w:kern w:val="0"/>
          <w:szCs w:val="21"/>
          <w:u w:val="single"/>
        </w:rPr>
      </w:sdtEndPr>
      <w:sdtContent>
        <w:p>
          <w:pPr>
            <w:pStyle w:val="78"/>
            <w:numPr>
              <w:ilvl w:val="0"/>
              <w:numId w:val="33"/>
            </w:numPr>
            <w:rPr>
              <w:bCs w:val="0"/>
            </w:rPr>
          </w:pPr>
          <w:r>
            <w:rPr>
              <w:rFonts w:hint="eastAsia"/>
              <w:bCs w:val="0"/>
            </w:rPr>
            <w:t>公司报告期内执行公司债券募集说明书相关约定或承诺的情况</w:t>
          </w:r>
        </w:p>
        <w:sdt>
          <w:sdtPr>
            <w:rPr>
              <w:rFonts w:hint="eastAsia" w:hAnsi="Arial" w:cs="Times New Roman"/>
              <w:bCs/>
              <w:kern w:val="2"/>
              <w:szCs w:val="21"/>
            </w:rPr>
            <w:alias w:val="是否适用：公司报告期内执行公司债券募集说明书相关约定或承诺的情况[双击切换]"/>
            <w:tag w:val="_GBC_40a287d49c94493ba3d6fec34175d710"/>
            <w:id w:val="25153998"/>
            <w:lock w:val="sdtContentLocked"/>
            <w:placeholder>
              <w:docPart w:val="GBC22222222222222222222222222222"/>
            </w:placeholder>
          </w:sdtPr>
          <w:sdtEndPr>
            <w:rPr>
              <w:rFonts w:hint="eastAsia" w:hAnsi="Arial" w:cs="Times New Roman"/>
              <w:bCs/>
              <w:kern w:val="2"/>
              <w:szCs w:val="21"/>
            </w:rPr>
          </w:sdtEndPr>
          <w:sdtContent>
            <w:p>
              <w:pPr>
                <w:pStyle w:val="76"/>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rPr>
            <w:alias w:val="公司报告期内执行公司债券募集说明书相关约定或承诺的情况"/>
            <w:tag w:val="_GBC_7482a0c8dd06484c997ebf09dc86fb71"/>
            <w:id w:val="25153999"/>
            <w:lock w:val="sdtLocked"/>
            <w:placeholder>
              <w:docPart w:val="GBC22222222222222222222222222222"/>
            </w:placeholder>
          </w:sdtPr>
          <w:sdtEndPr>
            <w:rPr>
              <w:rFonts w:hint="eastAsia" w:hAnsi="Arial" w:cs="Times New Roman"/>
              <w:bCs/>
              <w:kern w:val="2"/>
            </w:rPr>
          </w:sdtEndPr>
          <w:sdtContent>
            <w:p>
              <w:pPr>
                <w:rPr>
                  <w:rFonts w:hAnsi="Arial" w:cs="Times New Roman"/>
                  <w:kern w:val="2"/>
                </w:rPr>
              </w:pPr>
              <w:r>
                <w:rPr>
                  <w:rFonts w:hint="eastAsia" w:cs="Times New Roman"/>
                  <w:kern w:val="2"/>
                </w:rPr>
                <w:t>报告期内，公司均严格履行公司债券募集说明书相关内容，未有损害债券投资者利益的情况</w:t>
              </w:r>
            </w:p>
            <w:p>
              <w:r>
                <w:rPr>
                  <w:rFonts w:hint="eastAsia" w:cs="Times New Roman"/>
                  <w:kern w:val="2"/>
                </w:rPr>
                <w:t>发生。</w:t>
              </w:r>
            </w:p>
          </w:sdtContent>
        </w:sdt>
      </w:sdtContent>
    </w:sdt>
    <w:p>
      <w:pPr>
        <w:pStyle w:val="76"/>
      </w:pPr>
    </w:p>
    <w:sdt>
      <w:sdtPr>
        <w:rPr>
          <w:rFonts w:hint="eastAsia" w:ascii="宋体" w:hAnsi="宋体" w:cs="宋体"/>
          <w:b w:val="0"/>
          <w:bCs w:val="0"/>
          <w:kern w:val="0"/>
          <w:szCs w:val="24"/>
        </w:rPr>
        <w:alias w:val="模块:公司发生重大事项及对公司经营情况和偿债能力的影响"/>
        <w:tag w:val="_SEC_b71f1d0ec0914f1eb84ed9f4ce70fe56"/>
        <w:id w:val="25154003"/>
        <w:lock w:val="sdtLocked"/>
        <w:placeholder>
          <w:docPart w:val="GBC22222222222222222222222222222"/>
        </w:placeholder>
      </w:sdtPr>
      <w:sdtEndPr>
        <w:rPr>
          <w:rFonts w:hint="eastAsia" w:ascii="宋体" w:hAnsi="宋体" w:cs="宋体"/>
          <w:b w:val="0"/>
          <w:bCs w:val="0"/>
          <w:kern w:val="0"/>
          <w:szCs w:val="24"/>
          <w:u w:val="single"/>
        </w:rPr>
      </w:sdtEndPr>
      <w:sdtContent>
        <w:p>
          <w:pPr>
            <w:pStyle w:val="78"/>
            <w:numPr>
              <w:ilvl w:val="0"/>
              <w:numId w:val="33"/>
            </w:numPr>
            <w:rPr>
              <w:bCs w:val="0"/>
            </w:rPr>
          </w:pPr>
          <w:r>
            <w:rPr>
              <w:rFonts w:hint="eastAsia"/>
              <w:bCs w:val="0"/>
            </w:rPr>
            <w:t>公司发生重大</w:t>
          </w:r>
          <w:r>
            <w:rPr>
              <w:rFonts w:hint="eastAsia"/>
            </w:rPr>
            <w:t>事项</w:t>
          </w:r>
          <w:r>
            <w:rPr>
              <w:rFonts w:hint="eastAsia"/>
              <w:bCs w:val="0"/>
            </w:rPr>
            <w:t>及对公司经营情况和偿债能力的影响</w:t>
          </w:r>
        </w:p>
        <w:sdt>
          <w:sdtPr>
            <w:rPr>
              <w:rFonts w:hint="eastAsia" w:hAnsi="Arial" w:cs="Times New Roman"/>
              <w:bCs/>
              <w:kern w:val="2"/>
              <w:szCs w:val="21"/>
            </w:rPr>
            <w:alias w:val="是否适用：公司发生的重大事项及对公司经营情况和偿债能力的影响[双击切换]"/>
            <w:tag w:val="_GBC_f9e362a5abbe4e748626ab8d8d967a33"/>
            <w:id w:val="25154001"/>
            <w:lock w:val="sdtContentLocked"/>
            <w:placeholder>
              <w:docPart w:val="GBC22222222222222222222222222222"/>
            </w:placeholder>
          </w:sdtPr>
          <w:sdtEndPr>
            <w:rPr>
              <w:rFonts w:hint="eastAsia" w:hAnsi="Arial" w:cs="Times New Roman"/>
              <w:bCs/>
              <w:kern w:val="2"/>
              <w:szCs w:val="21"/>
            </w:rPr>
          </w:sdtEndPr>
          <w:sdtContent>
            <w:p>
              <w:pPr>
                <w:pStyle w:val="76"/>
                <w:ind w:right="6"/>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rPr>
            <w:alias w:val="公司发生重大事项及对公司经营情况和偿债能力的影响"/>
            <w:tag w:val="_GBC_8f42a767c73049abbf280ac8bd6a5e2c"/>
            <w:id w:val="25154002"/>
            <w:lock w:val="sdtLocked"/>
            <w:placeholder>
              <w:docPart w:val="GBC22222222222222222222222222222"/>
            </w:placeholder>
          </w:sdtPr>
          <w:sdtEndPr>
            <w:rPr>
              <w:rFonts w:hint="eastAsia" w:hAnsi="Arial" w:cs="Times New Roman"/>
              <w:bCs/>
              <w:kern w:val="2"/>
            </w:rPr>
          </w:sdtEndPr>
          <w:sdtContent>
            <w:p>
              <w:pPr>
                <w:ind w:right="6"/>
                <w:rPr>
                  <w:rFonts w:hAnsi="Arial" w:cs="Times New Roman"/>
                  <w:kern w:val="2"/>
                </w:rPr>
              </w:pPr>
              <w:r>
                <w:rPr>
                  <w:rFonts w:hint="eastAsia" w:cs="Times New Roman"/>
                  <w:kern w:val="2"/>
                </w:rPr>
                <w:t>报告期内，公司未发生《公司债券发行与交易管理办法》第四十五条列示的重大事项。</w:t>
              </w:r>
            </w:p>
          </w:sdtContent>
        </w:sdt>
        <w:p>
          <w:pPr>
            <w:pStyle w:val="76"/>
            <w:spacing w:line="360" w:lineRule="exact"/>
            <w:ind w:right="5"/>
            <w:sectPr>
              <w:pgSz w:w="11906" w:h="16838"/>
              <w:pgMar w:top="1525" w:right="1276" w:bottom="1440" w:left="1797" w:header="851" w:footer="992" w:gutter="0"/>
              <w:cols w:space="425" w:num="1"/>
              <w:docGrid w:linePitch="312" w:charSpace="0"/>
            </w:sectPr>
          </w:pPr>
        </w:p>
      </w:sdtContent>
    </w:sdt>
    <w:p>
      <w:pPr>
        <w:pStyle w:val="77"/>
        <w:numPr>
          <w:ilvl w:val="0"/>
          <w:numId w:val="2"/>
        </w:numPr>
        <w:rPr>
          <w:rFonts w:ascii="宋体" w:hAnsi="宋体" w:eastAsia="宋体"/>
          <w:bCs w:val="0"/>
          <w:szCs w:val="28"/>
        </w:rPr>
      </w:pPr>
      <w:bookmarkStart w:id="50" w:name="_Toc484510573"/>
      <w:r>
        <w:rPr>
          <w:rFonts w:ascii="宋体" w:hAnsi="宋体" w:eastAsia="宋体"/>
          <w:bCs w:val="0"/>
          <w:szCs w:val="28"/>
        </w:rPr>
        <w:t>财务报告</w:t>
      </w:r>
      <w:bookmarkEnd w:id="50"/>
    </w:p>
    <w:sdt>
      <w:sdtPr>
        <w:rPr>
          <w:rFonts w:hint="eastAsia" w:ascii="宋体" w:hAnsi="宋体" w:cs="宋体"/>
          <w:b w:val="0"/>
          <w:bCs w:val="0"/>
          <w:kern w:val="0"/>
          <w:szCs w:val="24"/>
        </w:rPr>
        <w:alias w:val="模块:审计报告"/>
        <w:tag w:val="_GBC_3c4b7d00409449a2b71d41277e7bd042"/>
        <w:id w:val="25154005"/>
        <w:lock w:val="sdtLocked"/>
        <w:placeholder>
          <w:docPart w:val="GBC22222222222222222222222222222"/>
        </w:placeholder>
      </w:sdtPr>
      <w:sdtEndPr>
        <w:rPr>
          <w:rFonts w:hint="eastAsia" w:ascii="宋体" w:hAnsi="宋体" w:cs="宋体"/>
          <w:b w:val="0"/>
          <w:bCs w:val="0"/>
          <w:kern w:val="0"/>
          <w:szCs w:val="24"/>
        </w:rPr>
      </w:sdtEndPr>
      <w:sdtContent>
        <w:p>
          <w:pPr>
            <w:pStyle w:val="78"/>
            <w:numPr>
              <w:ilvl w:val="0"/>
              <w:numId w:val="34"/>
            </w:numPr>
            <w:rPr>
              <w:rFonts w:ascii="宋体" w:hAnsi="宋体"/>
            </w:rPr>
          </w:pPr>
          <w:r>
            <w:rPr>
              <w:rFonts w:hint="eastAsia"/>
            </w:rPr>
            <w:t>审计</w:t>
          </w:r>
          <w:r>
            <w:rPr>
              <w:rFonts w:hint="eastAsia" w:ascii="宋体" w:hAnsi="宋体"/>
            </w:rPr>
            <w:t>报告</w:t>
          </w:r>
        </w:p>
        <w:sdt>
          <w:sdtPr>
            <w:alias w:val="是否适用：审计报告[双击切换]"/>
            <w:tag w:val="_GBC_33dac3baf6634fba91e3026ebaaad280"/>
            <w:id w:val="2515400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8"/>
        <w:numPr>
          <w:ilvl w:val="0"/>
          <w:numId w:val="34"/>
        </w:numPr>
        <w:rPr>
          <w:rFonts w:ascii="宋体" w:hAnsi="宋体"/>
        </w:rPr>
      </w:pPr>
      <w:r>
        <w:rPr>
          <w:rFonts w:hint="eastAsia" w:ascii="宋体" w:hAnsi="宋体"/>
        </w:rPr>
        <w:t>财务报表</w:t>
      </w:r>
    </w:p>
    <w:sdt>
      <w:sdtPr>
        <w:rPr>
          <w:rFonts w:ascii="宋体" w:hAnsi="宋体" w:cs="宋体"/>
          <w:b w:val="0"/>
          <w:bCs w:val="0"/>
          <w:kern w:val="0"/>
          <w:szCs w:val="24"/>
        </w:rPr>
        <w:tag w:val="_GBC_1503eb297d3448c582e8e9dc7031b2c7"/>
        <w:id w:val="25154094"/>
        <w:lock w:val="sdtLocked"/>
        <w:placeholder>
          <w:docPart w:val="GBC22222222222222222222222222222"/>
        </w:placeholder>
      </w:sdtPr>
      <w:sdtEndPr>
        <w:rPr>
          <w:rFonts w:ascii="宋体" w:hAnsi="宋体" w:cs="宋体"/>
          <w:b w:val="0"/>
          <w:bCs w:val="0"/>
          <w:kern w:val="0"/>
          <w:szCs w:val="21"/>
        </w:rPr>
      </w:sdtEndPr>
      <w:sdtContent>
        <w:p>
          <w:pPr>
            <w:pStyle w:val="79"/>
            <w:jc w:val="center"/>
          </w:pPr>
          <w:r>
            <w:rPr>
              <w:rFonts w:hint="eastAsia"/>
            </w:rPr>
            <w:t>资产负债表</w:t>
          </w:r>
        </w:p>
        <w:p>
          <w:pPr>
            <w:pStyle w:val="76"/>
            <w:snapToGrid w:val="0"/>
            <w:spacing w:line="240" w:lineRule="atLeast"/>
            <w:jc w:val="center"/>
            <w:rPr>
              <w:b/>
              <w:szCs w:val="21"/>
            </w:rPr>
          </w:pPr>
          <w:r>
            <w:rPr>
              <w:szCs w:val="21"/>
            </w:rPr>
            <w:t>2018年</w:t>
          </w:r>
          <w:r>
            <w:rPr>
              <w:rFonts w:hint="eastAsia"/>
              <w:szCs w:val="21"/>
            </w:rPr>
            <w:t>6</w:t>
          </w:r>
          <w:r>
            <w:rPr>
              <w:szCs w:val="21"/>
            </w:rPr>
            <w:t>月3</w:t>
          </w:r>
          <w:r>
            <w:rPr>
              <w:rFonts w:hint="eastAsia"/>
              <w:szCs w:val="21"/>
            </w:rPr>
            <w:t>0</w:t>
          </w:r>
          <w:r>
            <w:rPr>
              <w:szCs w:val="21"/>
            </w:rPr>
            <w:t>日</w:t>
          </w:r>
        </w:p>
        <w:p>
          <w:pPr>
            <w:pStyle w:val="76"/>
            <w:rPr>
              <w:szCs w:val="21"/>
            </w:rPr>
          </w:pPr>
          <w:r>
            <w:rPr>
              <w:szCs w:val="21"/>
            </w:rPr>
            <w:t xml:space="preserve">编制单位: </w:t>
          </w:r>
          <w:sdt>
            <w:sdtPr>
              <w:rPr>
                <w:szCs w:val="21"/>
              </w:rPr>
              <w:alias w:val="公司法定中文名称"/>
              <w:tag w:val="_GBC_ca007c517fec4710928b9ee43c847e8b"/>
              <w:id w:val="25154006"/>
              <w:lock w:val="sdtLocked"/>
              <w15:dataBinding w:prefixMappings="xmlns:clcid-cgi='clcid-cgi'" w:xpath="/*/clcid-cgi:GongSiFaDingZhongWenMingCheng[not(@periodRef)]" w:storeItemID="{89EBAB94-44A0-46A2-B712-30D997D04A6D}"/>
              <w:text/>
            </w:sdtPr>
            <w:sdtEndPr>
              <w:rPr>
                <w:szCs w:val="21"/>
              </w:rPr>
            </w:sdtEndPr>
            <w:sdtContent>
              <w:r>
                <w:rPr>
                  <w:rFonts w:hint="eastAsia"/>
                  <w:szCs w:val="21"/>
                </w:rPr>
                <w:t>柳州钢铁股份有限公司</w:t>
              </w:r>
            </w:sdtContent>
          </w:sdt>
        </w:p>
        <w:p>
          <w:pPr>
            <w:pStyle w:val="76"/>
            <w:jc w:val="right"/>
            <w:rPr>
              <w:szCs w:val="21"/>
            </w:rPr>
          </w:pPr>
          <w:r>
            <w:rPr>
              <w:szCs w:val="21"/>
            </w:rPr>
            <w:t>单位:</w:t>
          </w:r>
          <w:sdt>
            <w:sdtPr>
              <w:rPr>
                <w:szCs w:val="21"/>
              </w:rPr>
              <w:alias w:val="单位：母公司资产负债表"/>
              <w:tag w:val="_GBC_93410f9f0f51403686d6c566dbb4be50"/>
              <w:id w:val="25154007"/>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2515400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1278"/>
            <w:gridCol w:w="226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f4324dce5cef4ea2bd57d428a3a515f7"/>
                <w:id w:val="2515400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b/>
                        <w:szCs w:val="21"/>
                      </w:rPr>
                      <w:t>项目</w:t>
                    </w:r>
                  </w:p>
                </w:tc>
              </w:sdtContent>
            </w:sdt>
            <w:sdt>
              <w:sdtPr>
                <w:tag w:val="_PLD_80503353c458420c85b6e08f9d1a8cbd"/>
                <w:id w:val="25154010"/>
                <w:lock w:val="sdtLocked"/>
              </w:sdtPr>
              <w:sdtContent>
                <w:tc>
                  <w:tcPr>
                    <w:tcW w:w="1278"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rFonts w:hint="eastAsia"/>
                        <w:b/>
                        <w:szCs w:val="21"/>
                      </w:rPr>
                      <w:t>附注</w:t>
                    </w:r>
                  </w:p>
                </w:tc>
              </w:sdtContent>
            </w:sdt>
            <w:sdt>
              <w:sdtPr>
                <w:tag w:val="_PLD_ca74e46a7a984442a3f69929d2530b8f"/>
                <w:id w:val="25154011"/>
                <w:lock w:val="sdtLocked"/>
              </w:sdtPr>
              <w:sdtContent>
                <w:tc>
                  <w:tcPr>
                    <w:tcW w:w="2260"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b/>
                        <w:szCs w:val="21"/>
                      </w:rPr>
                      <w:t>期末余额</w:t>
                    </w:r>
                  </w:p>
                </w:tc>
              </w:sdtContent>
            </w:sdt>
            <w:sdt>
              <w:sdtPr>
                <w:tag w:val="_PLD_429a27ff7848436b9ad4b406ee129bb6"/>
                <w:id w:val="25154012"/>
                <w:lock w:val="sdtLocked"/>
              </w:sdtPr>
              <w:sdtContent>
                <w:tc>
                  <w:tcPr>
                    <w:tcW w:w="2002"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rFonts w:hint="eastAsia"/>
                        <w:b/>
                        <w:szCs w:val="21"/>
                      </w:rPr>
                      <w:t>期</w:t>
                    </w:r>
                    <w:r>
                      <w:rPr>
                        <w:b/>
                        <w:szCs w:val="21"/>
                      </w:rPr>
                      <w:t>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65cf4836924387bb35c9e7b48fb337"/>
                <w:id w:val="2515401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rPr>
                        <w:szCs w:val="21"/>
                      </w:rPr>
                    </w:pPr>
                    <w:r>
                      <w:rPr>
                        <w:rFonts w:hint="eastAsia"/>
                        <w:b/>
                        <w:bCs/>
                        <w:szCs w:val="21"/>
                      </w:rPr>
                      <w:t>流动资产：</w:t>
                    </w:r>
                  </w:p>
                </w:tc>
              </w:sdtContent>
            </w:sdt>
            <w:tc>
              <w:tcPr>
                <w:tcW w:w="5540" w:type="dxa"/>
                <w:gridSpan w:val="3"/>
                <w:tcBorders>
                  <w:top w:val="outset" w:color="auto" w:sz="6" w:space="0"/>
                  <w:left w:val="outset" w:color="auto" w:sz="6" w:space="0"/>
                  <w:bottom w:val="outset" w:color="auto" w:sz="6" w:space="0"/>
                  <w:right w:val="outset" w:color="auto" w:sz="6" w:space="0"/>
                </w:tcBorders>
                <w:vAlign w:val="center"/>
              </w:tcPr>
              <w:p>
                <w:pPr>
                  <w:pStyle w:val="76"/>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5cc35cd5cb48b39cbffeb4c701de59"/>
                <w:id w:val="2515401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货币资金</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七、1</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1,783,557,868.10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3,114,641,377.27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2bbad5b1df64155b2f8fa90c1239dba"/>
                <w:id w:val="2515401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以公允价值计量且其变动计入当期损益的金融资产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b799dabef2c43c6a5616582cedbf782"/>
                <w:id w:val="2515401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衍生金融资产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fa4457f5b5344c5be923d7cd671d5b1"/>
                <w:id w:val="2515401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应收票据</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七、4</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7,234,019,276.98</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3,929,185,370.91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500fa0b78c3437d89db94febb0a496c"/>
                <w:id w:val="2515401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应收账款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292,510,880.49</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238,631,759.70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e1065edf4e44790841614187b1eda14"/>
                <w:id w:val="2515401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预付款项</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404,093,809.03</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745,043,260.62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ccf57d551541d09a3c75e44e7824f0"/>
                <w:id w:val="2515402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应收利息</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9c09a79a4564c18bb65ab7628a42be2"/>
                <w:id w:val="2515402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应收股利</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1f68400ff04405937882a3d8f5b683"/>
                <w:id w:val="2515402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其他应收款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七、9</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17,988,142.27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10,414,095.60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6efc4a3454496d8b4ea7ea1916253a"/>
                <w:id w:val="2515402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存货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七、10</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4,754,707,573.14</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4,769,405,443.91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6759fedba3476babc7b121bc2a912c"/>
                <w:id w:val="2515402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持有待售资产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fe5fbaf4574167b93c6100e68faaa8"/>
                <w:id w:val="2515402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一年内到期的非流动资产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be96795ab0a48ab9764562eb0259b02"/>
                <w:id w:val="2515402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其他流动资产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七、13</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21,971,483.76</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205,029.12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a1bc0fdd8f4443bd63a98581c1ec20"/>
                <w:id w:val="2515402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420" w:firstLineChars="200"/>
                      <w:rPr>
                        <w:szCs w:val="21"/>
                      </w:rPr>
                    </w:pPr>
                    <w:r>
                      <w:rPr>
                        <w:rFonts w:hint="eastAsia"/>
                        <w:szCs w:val="21"/>
                      </w:rPr>
                      <w:t>流动资产合计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14,508,849,033.77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12,835,094,337.13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dd550d627b64efdae385e2cae34d3a3"/>
                <w:id w:val="2515402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rPr>
                        <w:szCs w:val="21"/>
                      </w:rPr>
                    </w:pPr>
                    <w:r>
                      <w:rPr>
                        <w:rFonts w:hint="eastAsia"/>
                        <w:b/>
                        <w:bCs/>
                        <w:szCs w:val="21"/>
                      </w:rPr>
                      <w:t>非流动资产：</w:t>
                    </w:r>
                  </w:p>
                </w:tc>
              </w:sdtContent>
            </w:sdt>
            <w:tc>
              <w:tcPr>
                <w:tcW w:w="5540" w:type="dxa"/>
                <w:gridSpan w:val="3"/>
                <w:tcBorders>
                  <w:top w:val="outset" w:color="auto" w:sz="6" w:space="0"/>
                  <w:left w:val="outset" w:color="auto" w:sz="6" w:space="0"/>
                  <w:bottom w:val="outset" w:color="auto" w:sz="6" w:space="0"/>
                  <w:right w:val="outset" w:color="auto" w:sz="6" w:space="0"/>
                </w:tcBorders>
              </w:tcPr>
              <w:p>
                <w:pPr>
                  <w:pStyle w:val="76"/>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c10fb65a754debb864812de2745cd4"/>
                <w:id w:val="2515402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可供出售金融资产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97f503dbb944d12b479320f02a02ece"/>
                <w:id w:val="2515403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持有至到期投资</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322f8ba83404f83b76da826b5b61f5a"/>
                <w:id w:val="2515403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长期应收款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ab21fce7863490f8ec8685a1cd4663f"/>
                <w:id w:val="2515403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长期股权投资</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七、17</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3,836,008.90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400,186.44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817f1d2f9834c3fad9b3e92bbfcdf86"/>
                <w:id w:val="2515403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投资性房地产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616a43224949539c50f9f0e72eb1e1"/>
                <w:id w:val="2515403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固定资产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七、19</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9,339,823,468.29</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9,775,048,627.82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c2348f644124e00b9fa830b7670eb80"/>
                <w:id w:val="2515403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在建工程</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七、20</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517,272,822.59</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382,873,336.34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bc9e58da46456ab7d2df8b7be75645"/>
                <w:id w:val="2515403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工程物资</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七、21</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23,889,162.37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15,861,244.81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fdca1d8280643628921a1c1655793f2"/>
                <w:id w:val="2515403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固定资产清理</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七、22</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rPr>
                    <w:rFonts w:hint="eastAsia"/>
                  </w:rPr>
                  <w:t>-</w:t>
                </w:r>
                <w:r>
                  <w:t>2,411,638.30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d6cdc9f4094763af4b3e30cd04a636"/>
                <w:id w:val="2515403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生产性生物资产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bdc7406199451886a2f24e6030a6b7"/>
                <w:id w:val="2515403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油气资产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c958c3b8ef4756a0e20d2d4eb38a56"/>
                <w:id w:val="2515404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无形资产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七、25</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9,973,110.14</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11,245,209.38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1105c48a614718a6e8a35a7fa3625a"/>
                <w:id w:val="2515404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开发支出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265a3d664e9406ab2b6cf4e3c525795"/>
                <w:id w:val="2515404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商誉</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f226a4f59b54485a903df3f5838a58f"/>
                <w:id w:val="2515404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长期待摊费用</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3bbc50d4b7b40df8daa8362072d2562"/>
                <w:id w:val="2515404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递延所得税资产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七、29</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53,394,303.31</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53,394,303.31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6ef8ab8c764d46b776b1d5424a9574"/>
                <w:id w:val="2515404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其他非流动资产</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6ca9bf36ae24888ab5e1fbab97cca5e"/>
                <w:id w:val="2515404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420" w:firstLineChars="200"/>
                      <w:rPr>
                        <w:szCs w:val="21"/>
                      </w:rPr>
                    </w:pPr>
                    <w:r>
                      <w:rPr>
                        <w:rFonts w:hint="eastAsia"/>
                        <w:szCs w:val="21"/>
                      </w:rPr>
                      <w:t>非流动资产合计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9,945,777,237.30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10,238,822,908.10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ed5b0b52f804563ac6566467ce996a9"/>
                <w:id w:val="2515404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资产总计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24,454,626,271.07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23,073,917,245.23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fab1355a6247e1a3281d88c4cf8c03"/>
                <w:id w:val="2515404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rPr>
                        <w:szCs w:val="21"/>
                      </w:rPr>
                    </w:pPr>
                    <w:r>
                      <w:rPr>
                        <w:rFonts w:hint="eastAsia"/>
                        <w:b/>
                        <w:bCs/>
                        <w:szCs w:val="21"/>
                      </w:rPr>
                      <w:t>流动负债：</w:t>
                    </w:r>
                  </w:p>
                </w:tc>
              </w:sdtContent>
            </w:sdt>
            <w:tc>
              <w:tcPr>
                <w:tcW w:w="5540" w:type="dxa"/>
                <w:gridSpan w:val="3"/>
                <w:tcBorders>
                  <w:top w:val="outset" w:color="auto" w:sz="6" w:space="0"/>
                  <w:left w:val="outset" w:color="auto" w:sz="6" w:space="0"/>
                  <w:bottom w:val="outset" w:color="auto" w:sz="6" w:space="0"/>
                  <w:right w:val="outset" w:color="auto" w:sz="6" w:space="0"/>
                </w:tcBorders>
              </w:tcPr>
              <w:p>
                <w:pPr>
                  <w:pStyle w:val="76"/>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sdt>
              <w:sdtPr>
                <w:tag w:val="_PLD_f36f45091c6f41fa96832de2c00c657f"/>
                <w:id w:val="2515404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短期借款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七、31</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7,005,091,112.74</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6,720,875,922.89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6c0b909f3b4469380a0be0d241db465"/>
                <w:id w:val="2515405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以公允价值计量且其变动计入当期损益的金融负债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2cb9945c2c54470b3cda20ddeb1e329"/>
                <w:id w:val="2515405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衍生金融负债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87e1b4331f4cca8e13afcea46220bd"/>
                <w:id w:val="2515405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应付票据</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七、34</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1,064,000,000.00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2,376,200,000.00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c684f092c946e8ac30948d905902ab"/>
                <w:id w:val="2515405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应付账款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七、35</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4,985,073,121.80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3,251,525,630.78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3d69774e3954a46b47e293d1d246287"/>
                <w:id w:val="2515405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预收款项</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七、36</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849,343,439.37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1,117,601,244.18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f2dea7f313c4417ae645c904d7875fa"/>
                <w:id w:val="2515405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应付职工薪酬</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七、37</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91,101,639.98</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82,850,795.71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56c5488a38d41d1a25f9ba4f7905b48"/>
                <w:id w:val="2515405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应交税费</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七、38</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457,269,209.68</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510,324,260.62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210b9a06274af5a819dcc0af022142"/>
                <w:id w:val="2515405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应付利息</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七、39</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23,200,467.54</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26,954,804.80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aaff1352a64a8593db1ff8373e69c5"/>
                <w:id w:val="2515405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应付股利</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a8425841011497d884c33a432d994f8"/>
                <w:id w:val="2515405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其他应付款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七、41</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202,051,465.85</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196,886,335.22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04ed5f3a1604a0ba413385d0ef1965a"/>
                <w:id w:val="2515406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持有待售负债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ae6132a13c644b0a5aa7a794367b49d"/>
                <w:id w:val="2515406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一年内到期的非流动负债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七、43</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715,708,108.06</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1,091,004,800.00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88234e50914899a98fa9a2a4e7eaa4"/>
                <w:id w:val="2515406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其他流动负债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eb57bbe5ab74ef897eb3c9bc9481bda"/>
                <w:id w:val="2515406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420" w:firstLineChars="200"/>
                      <w:rPr>
                        <w:szCs w:val="21"/>
                      </w:rPr>
                    </w:pPr>
                    <w:r>
                      <w:rPr>
                        <w:rFonts w:hint="eastAsia"/>
                        <w:szCs w:val="21"/>
                      </w:rPr>
                      <w:t>流动负债合计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15,392,838,565.02</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15,374,223,794.20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7f821937eb4babb696849e01be1240"/>
                <w:id w:val="2515406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rPr>
                        <w:szCs w:val="21"/>
                      </w:rPr>
                    </w:pPr>
                    <w:r>
                      <w:rPr>
                        <w:rFonts w:hint="eastAsia"/>
                        <w:b/>
                        <w:bCs/>
                        <w:szCs w:val="21"/>
                      </w:rPr>
                      <w:t>非流动负债：</w:t>
                    </w:r>
                  </w:p>
                </w:tc>
              </w:sdtContent>
            </w:sdt>
            <w:tc>
              <w:tcPr>
                <w:tcW w:w="5540" w:type="dxa"/>
                <w:gridSpan w:val="3"/>
                <w:tcBorders>
                  <w:top w:val="outset" w:color="auto" w:sz="6" w:space="0"/>
                  <w:left w:val="outset" w:color="auto" w:sz="6" w:space="0"/>
                  <w:bottom w:val="outset" w:color="auto" w:sz="6" w:space="0"/>
                  <w:right w:val="outset" w:color="auto" w:sz="6" w:space="0"/>
                </w:tcBorders>
              </w:tcPr>
              <w:p>
                <w:pPr>
                  <w:pStyle w:val="76"/>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93b0efa65b249a9921935c95183701a"/>
                <w:id w:val="2515406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长期借款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七、45</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1,028,500,000.00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eec50e2f0c1449183d2cd8cc7c35a5c"/>
                <w:id w:val="2515406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应付债券</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七、46</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424,057,411.28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6abd5ee92db452ebae01654dcdeb77e"/>
                <w:id w:val="2515406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其中：优先股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c1520d1dc4d486bbad6f6f49aa10347"/>
                <w:id w:val="2515406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840" w:firstLineChars="400"/>
                      <w:rPr>
                        <w:szCs w:val="21"/>
                      </w:rPr>
                    </w:pPr>
                    <w:r>
                      <w:rPr>
                        <w:rFonts w:hint="eastAsia"/>
                        <w:szCs w:val="21"/>
                      </w:rPr>
                      <w:t>永续债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f5fca93106d4aca8d6dbc33f8c1a22e"/>
                <w:id w:val="2515406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长期应付款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99f5530e02e4972bfff21942db1d055"/>
                <w:id w:val="2515407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长期应付职工薪酬</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4fc5c1fca341dc9c0157d9ceb6fb16"/>
                <w:id w:val="2515407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专项应付款</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c554b191afb499789ab4e1742e34a36"/>
                <w:id w:val="2515407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预计负债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2ef76bef7204ff88f42493cf193768c"/>
                <w:id w:val="2515407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递延收益</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七、51</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71,658,905.49</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76,438,107.61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928a51f8ef42d7a9e95d4d1c68f7b4"/>
                <w:id w:val="2515407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递延所得税负债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       </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d5bec1432ff4a26939596b95634d805"/>
                <w:id w:val="2515407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其他非流动负债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67c0e7748d4b5e8cac2816ded6ea0e"/>
                <w:id w:val="2515407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420" w:firstLineChars="200"/>
                      <w:rPr>
                        <w:szCs w:val="21"/>
                      </w:rPr>
                    </w:pPr>
                    <w:r>
                      <w:rPr>
                        <w:rFonts w:hint="eastAsia"/>
                        <w:szCs w:val="21"/>
                      </w:rPr>
                      <w:t>非流动负债合计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1,100,158,905.49</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500,495,518.89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ffae7acd92546d48c8dbac531cce01b"/>
                <w:id w:val="2515407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负债合计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16,492,997,470.51</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15,874,719,313.09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da3bd220a4f40c0a781070699e576d5"/>
                <w:id w:val="2515407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rPr>
                        <w:szCs w:val="21"/>
                      </w:rPr>
                    </w:pPr>
                    <w:r>
                      <w:rPr>
                        <w:rFonts w:hint="eastAsia"/>
                        <w:b/>
                        <w:bCs/>
                        <w:szCs w:val="21"/>
                      </w:rPr>
                      <w:t>所有者权益：</w:t>
                    </w:r>
                  </w:p>
                </w:tc>
              </w:sdtContent>
            </w:sdt>
            <w:tc>
              <w:tcPr>
                <w:tcW w:w="5540" w:type="dxa"/>
                <w:gridSpan w:val="3"/>
                <w:tcBorders>
                  <w:top w:val="outset" w:color="auto" w:sz="6" w:space="0"/>
                  <w:left w:val="outset" w:color="auto" w:sz="6" w:space="0"/>
                  <w:bottom w:val="outset" w:color="auto" w:sz="6" w:space="0"/>
                  <w:right w:val="outset" w:color="auto" w:sz="6" w:space="0"/>
                </w:tcBorders>
              </w:tcPr>
              <w:p>
                <w:pPr>
                  <w:pStyle w:val="76"/>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eba5143433431c894960d96a1c3c4e"/>
                <w:id w:val="2515407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股本</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七、53</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2,562,793,200.00</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2,562,793,200.00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355f494f33416a85b198d358d397d2"/>
                <w:id w:val="2515408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其他权益工具</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241bf8db6864b9da4b98fc2a865cb83"/>
                <w:id w:val="25154081"/>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其中：优先股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537e063ac84458487653ebd071ec8be"/>
                <w:id w:val="25154082"/>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left="630" w:leftChars="300" w:firstLine="210" w:firstLineChars="100"/>
                      <w:rPr>
                        <w:szCs w:val="21"/>
                      </w:rPr>
                    </w:pPr>
                    <w:r>
                      <w:rPr>
                        <w:rFonts w:hint="eastAsia"/>
                        <w:szCs w:val="21"/>
                      </w:rPr>
                      <w:t>永续债</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76429ca87ba442ab86416ac2e59c108"/>
                <w:id w:val="25154083"/>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资本公积</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七、55</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208,436,169.08</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208,436,169.08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02499c225c34c8a96bfd6cfc1bf2258"/>
                <w:id w:val="25154084"/>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减：库存股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2535011f44a4555b659ad09bd4e356d"/>
                <w:id w:val="25154085"/>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其他综合收益</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e00af0a0794605b81b2234f246fce7"/>
                <w:id w:val="25154086"/>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专项储备</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七、58</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4,358,100.25</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1,103,989.99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958235c80d4b27a56890f8ac534ac0"/>
                <w:id w:val="25154087"/>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盈余公积</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七、59</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1,237,059,322.55</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1,237,059,322.55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e331713774345e7b4b98206267c3b98"/>
                <w:id w:val="25154088"/>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未分配利润</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七、60</w:t>
                </w: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3,948,982,008.68</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3,189,805,250.52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77133b63a454500b207af239568f81d"/>
                <w:id w:val="25154089"/>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420" w:firstLineChars="200"/>
                      <w:rPr>
                        <w:szCs w:val="21"/>
                      </w:rPr>
                    </w:pPr>
                    <w:r>
                      <w:rPr>
                        <w:rFonts w:hint="eastAsia"/>
                        <w:szCs w:val="21"/>
                      </w:rPr>
                      <w:t>所有者权益合计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7,961,628,800.56</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7403801674241a0b22cc38d89da99de"/>
                <w:id w:val="25154090"/>
                <w:lock w:val="sdtLocked"/>
              </w:sdtPr>
              <w:sdtContent>
                <w:tc>
                  <w:tcPr>
                    <w:tcW w:w="3509"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负债和所有者权益总计</w:t>
                    </w:r>
                  </w:p>
                </w:tc>
              </w:sdtContent>
            </w:sdt>
            <w:tc>
              <w:tcPr>
                <w:tcW w:w="1278"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260" w:type="dxa"/>
                <w:tcBorders>
                  <w:top w:val="outset" w:color="auto" w:sz="6" w:space="0"/>
                  <w:left w:val="outset" w:color="auto" w:sz="6" w:space="0"/>
                  <w:bottom w:val="outset" w:color="auto" w:sz="6" w:space="0"/>
                  <w:right w:val="outset" w:color="auto" w:sz="6" w:space="0"/>
                </w:tcBorders>
              </w:tcPr>
              <w:p>
                <w:pPr>
                  <w:pStyle w:val="76"/>
                  <w:jc w:val="right"/>
                  <w:rPr>
                    <w:szCs w:val="21"/>
                  </w:rPr>
                </w:pPr>
                <w:r>
                  <w:t>24,454,626,271.07</w:t>
                </w:r>
              </w:p>
            </w:tc>
            <w:tc>
              <w:tcPr>
                <w:tcW w:w="2002" w:type="dxa"/>
                <w:tcBorders>
                  <w:top w:val="outset" w:color="auto" w:sz="6" w:space="0"/>
                  <w:left w:val="outset" w:color="auto" w:sz="6" w:space="0"/>
                  <w:bottom w:val="outset" w:color="auto" w:sz="6" w:space="0"/>
                  <w:right w:val="outset" w:color="auto" w:sz="6" w:space="0"/>
                </w:tcBorders>
              </w:tcPr>
              <w:p>
                <w:pPr>
                  <w:pStyle w:val="76"/>
                  <w:jc w:val="right"/>
                  <w:rPr>
                    <w:szCs w:val="21"/>
                  </w:rPr>
                </w:pPr>
                <w:r>
                  <w:t>23,073,917,245.23</w:t>
                </w:r>
              </w:p>
            </w:tc>
          </w:tr>
        </w:tbl>
        <w:p>
          <w:pPr>
            <w:pStyle w:val="76"/>
          </w:pPr>
        </w:p>
        <w:p>
          <w:pPr>
            <w:pStyle w:val="76"/>
            <w:ind w:right="-153" w:rightChars="-7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25154091"/>
              <w:lock w:val="sdtLocked"/>
              <w15:dataBinding w:prefixMappings="xmlns:clcid-cgi='clcid-cgi'" w:xpath="/*/clcid-cgi:GongSiFaDingDaiBiaoRen[not(@periodRef)]" w:storeItemID="{89EBAB94-44A0-46A2-B712-30D997D04A6D}"/>
              <w:text/>
            </w:sdtPr>
            <w:sdtEndPr>
              <w:rPr>
                <w:rFonts w:hint="eastAsia"/>
                <w:szCs w:val="21"/>
              </w:rPr>
            </w:sdtEnd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437e30593f649668dfd65b9a8ea89d5"/>
              <w:id w:val="25154092"/>
              <w:lock w:val="sdtLocked"/>
              <w15:dataBinding w:prefixMappings="xmlns:clcid-mr='clcid-mr'" w:xpath="/*/clcid-mr:ZhuGuanKuaiJiGongZuoFuZeRenXingMing[not(@periodRef)]" w:storeItemID="{89EBAB94-44A0-46A2-B712-30D997D04A6D}"/>
              <w:text/>
            </w:sdtPr>
            <w:sdtEndPr>
              <w:rPr>
                <w:rFonts w:hint="eastAsia"/>
                <w:szCs w:val="21"/>
              </w:rPr>
            </w:sdtEnd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aa686c1e59046a6873a3e16ede05e4b"/>
              <w:id w:val="25154093"/>
              <w:lock w:val="sdtLocked"/>
              <w15:dataBinding w:prefixMappings="xmlns:clcid-mr='clcid-mr'" w:xpath="/*/clcid-mr:KuaiJiJiGouFuZeRenXingMing[not(@periodRef)]" w:storeItemID="{89EBAB94-44A0-46A2-B712-30D997D04A6D}"/>
              <w:text/>
            </w:sdtPr>
            <w:sdtEndPr>
              <w:rPr>
                <w:rFonts w:hint="eastAsia"/>
                <w:szCs w:val="21"/>
              </w:rPr>
            </w:sdtEndPr>
            <w:sdtContent>
              <w:r>
                <w:rPr>
                  <w:rFonts w:hint="eastAsia"/>
                  <w:szCs w:val="21"/>
                </w:rPr>
                <w:t>杜忠军</w:t>
              </w:r>
            </w:sdtContent>
          </w:sdt>
        </w:p>
        <w:p>
          <w:pPr>
            <w:pStyle w:val="76"/>
            <w:ind w:right="-153" w:rightChars="-73"/>
            <w:rPr>
              <w:szCs w:val="21"/>
            </w:rPr>
          </w:pPr>
        </w:p>
      </w:sdtContent>
    </w:sdt>
    <w:p>
      <w:pPr>
        <w:pStyle w:val="76"/>
        <w:ind w:right="-153" w:rightChars="-73"/>
        <w:rPr>
          <w:b/>
          <w:bCs/>
          <w:color w:val="008000"/>
          <w:szCs w:val="21"/>
          <w:u w:val="single"/>
        </w:rPr>
      </w:pPr>
    </w:p>
    <w:p>
      <w:pPr>
        <w:pStyle w:val="76"/>
        <w:ind w:right="-153" w:rightChars="-73"/>
        <w:rPr>
          <w:b/>
          <w:bCs/>
          <w:color w:val="008000"/>
          <w:szCs w:val="21"/>
          <w:u w:val="single"/>
        </w:rPr>
      </w:pPr>
    </w:p>
    <w:sdt>
      <w:sdtPr>
        <w:rPr>
          <w:rFonts w:hint="eastAsia" w:ascii="宋体" w:hAnsi="宋体" w:cs="宋体"/>
          <w:b w:val="0"/>
          <w:bCs w:val="0"/>
          <w:kern w:val="0"/>
          <w:szCs w:val="21"/>
        </w:rPr>
        <w:tag w:val="_GBC_3ad209fb8b5d433d8d91b39c5a1a6fe2"/>
        <w:id w:val="25154141"/>
        <w:lock w:val="sdtLocked"/>
        <w:placeholder>
          <w:docPart w:val="GBC22222222222222222222222222222"/>
        </w:placeholder>
      </w:sdtPr>
      <w:sdtEndPr>
        <w:rPr>
          <w:rFonts w:hint="eastAsia" w:ascii="宋体" w:hAnsi="宋体" w:cs="宋体-方正超大字符集"/>
          <w:b w:val="0"/>
          <w:bCs w:val="0"/>
          <w:kern w:val="0"/>
          <w:szCs w:val="21"/>
        </w:rPr>
      </w:sdtEndPr>
      <w:sdtContent>
        <w:p>
          <w:pPr>
            <w:pStyle w:val="79"/>
            <w:jc w:val="center"/>
          </w:pPr>
          <w:r>
            <w:t>利润表</w:t>
          </w:r>
        </w:p>
        <w:p>
          <w:pPr>
            <w:pStyle w:val="76"/>
            <w:jc w:val="center"/>
            <w:rPr>
              <w:b/>
              <w:bCs/>
              <w:szCs w:val="21"/>
            </w:rPr>
          </w:pPr>
          <w:r>
            <w:rPr>
              <w:szCs w:val="21"/>
            </w:rPr>
            <w:t>2018年</w:t>
          </w:r>
          <w:r>
            <w:rPr>
              <w:rFonts w:hint="eastAsia"/>
              <w:szCs w:val="21"/>
            </w:rPr>
            <w:t>1—6</w:t>
          </w:r>
          <w:r>
            <w:rPr>
              <w:szCs w:val="21"/>
            </w:rPr>
            <w:t>月</w:t>
          </w:r>
        </w:p>
        <w:p>
          <w:pPr>
            <w:pStyle w:val="76"/>
            <w:snapToGrid w:val="0"/>
            <w:spacing w:line="240" w:lineRule="atLeast"/>
            <w:ind w:right="105" w:rightChars="50"/>
            <w:jc w:val="right"/>
            <w:rPr>
              <w:szCs w:val="21"/>
            </w:rPr>
          </w:pPr>
          <w:r>
            <w:rPr>
              <w:szCs w:val="21"/>
            </w:rPr>
            <w:t>单位:</w:t>
          </w:r>
          <w:sdt>
            <w:sdtPr>
              <w:rPr>
                <w:szCs w:val="21"/>
              </w:rPr>
              <w:alias w:val="单位：母公司利润表"/>
              <w:tag w:val="_GBC_34e415c837e84eed8e46839f812af522"/>
              <w:id w:val="25154095"/>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利润表"/>
              <w:tag w:val="_GBC_f2660c2586654164b26a3e8fde13a87d"/>
              <w:id w:val="2515409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2"/>
            <w:tblW w:w="95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944"/>
            <w:gridCol w:w="20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7051eff009674b60a056a93155b6b207"/>
                <w:id w:val="25154097"/>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Chars="-19" w:hanging="39" w:hangingChars="19"/>
                      <w:jc w:val="center"/>
                      <w:rPr>
                        <w:b/>
                        <w:szCs w:val="21"/>
                      </w:rPr>
                    </w:pPr>
                    <w:r>
                      <w:rPr>
                        <w:b/>
                        <w:szCs w:val="21"/>
                      </w:rPr>
                      <w:t>项目</w:t>
                    </w:r>
                  </w:p>
                </w:tc>
              </w:sdtContent>
            </w:sdt>
            <w:sdt>
              <w:sdtPr>
                <w:tag w:val="_PLD_e3dc275c63a141cb98d7d58b8304e539"/>
                <w:id w:val="25154098"/>
                <w:lock w:val="sdtLocked"/>
              </w:sdtPr>
              <w:sdtContent>
                <w:tc>
                  <w:tcPr>
                    <w:tcW w:w="944" w:type="dxa"/>
                    <w:tcBorders>
                      <w:top w:val="outset" w:color="auto" w:sz="6" w:space="0"/>
                      <w:left w:val="outset" w:color="auto" w:sz="6" w:space="0"/>
                      <w:bottom w:val="outset" w:color="auto" w:sz="6" w:space="0"/>
                      <w:right w:val="outset" w:color="auto" w:sz="6" w:space="0"/>
                    </w:tcBorders>
                  </w:tcPr>
                  <w:p>
                    <w:pPr>
                      <w:pStyle w:val="76"/>
                      <w:jc w:val="center"/>
                      <w:rPr>
                        <w:b/>
                        <w:szCs w:val="21"/>
                      </w:rPr>
                    </w:pPr>
                    <w:r>
                      <w:rPr>
                        <w:rFonts w:hint="eastAsia"/>
                        <w:b/>
                        <w:szCs w:val="21"/>
                      </w:rPr>
                      <w:t>附注</w:t>
                    </w:r>
                  </w:p>
                </w:tc>
              </w:sdtContent>
            </w:sdt>
            <w:sdt>
              <w:sdtPr>
                <w:tag w:val="_PLD_cb330e2a52244f298efa7d2b9e658c6d"/>
                <w:id w:val="25154099"/>
                <w:lock w:val="sdtLocked"/>
              </w:sdtPr>
              <w:sdtContent>
                <w:tc>
                  <w:tcPr>
                    <w:tcW w:w="2001"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b/>
                        <w:szCs w:val="21"/>
                      </w:rPr>
                      <w:t>本期</w:t>
                    </w:r>
                    <w:r>
                      <w:rPr>
                        <w:rFonts w:hint="eastAsia"/>
                        <w:b/>
                        <w:szCs w:val="21"/>
                      </w:rPr>
                      <w:t>发生</w:t>
                    </w:r>
                    <w:r>
                      <w:rPr>
                        <w:b/>
                        <w:szCs w:val="21"/>
                      </w:rPr>
                      <w:t>额</w:t>
                    </w:r>
                  </w:p>
                </w:tc>
              </w:sdtContent>
            </w:sdt>
            <w:sdt>
              <w:sdtPr>
                <w:tag w:val="_PLD_5a940f9d1dd44c3989d8308d6fff213e"/>
                <w:id w:val="25154100"/>
                <w:lock w:val="sdtLocked"/>
              </w:sdtPr>
              <w:sdtContent>
                <w:tc>
                  <w:tcPr>
                    <w:tcW w:w="2001" w:type="dxa"/>
                    <w:tcBorders>
                      <w:top w:val="outset" w:color="auto" w:sz="6" w:space="0"/>
                      <w:left w:val="outset" w:color="auto" w:sz="6" w:space="0"/>
                      <w:bottom w:val="outset" w:color="auto" w:sz="6" w:space="0"/>
                      <w:right w:val="outset" w:color="auto" w:sz="6" w:space="0"/>
                    </w:tcBorders>
                    <w:vAlign w:val="center"/>
                  </w:tcPr>
                  <w:p>
                    <w:pPr>
                      <w:pStyle w:val="76"/>
                      <w:jc w:val="center"/>
                      <w:rPr>
                        <w:b/>
                        <w:szCs w:val="21"/>
                      </w:rPr>
                    </w:pPr>
                    <w:r>
                      <w:rPr>
                        <w:b/>
                        <w:szCs w:val="21"/>
                      </w:rPr>
                      <w:t>上期</w:t>
                    </w:r>
                    <w:r>
                      <w:rPr>
                        <w:rFonts w:hint="eastAsia"/>
                        <w:b/>
                        <w:szCs w:val="21"/>
                      </w:rPr>
                      <w:t>发生</w:t>
                    </w:r>
                    <w:r>
                      <w:rPr>
                        <w:b/>
                        <w:szCs w:val="21"/>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b2c9e68bdc1487db63edef261fa04df"/>
                <w:id w:val="25154101"/>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rPr>
                        <w:color w:val="000000"/>
                        <w:szCs w:val="21"/>
                      </w:rPr>
                    </w:pPr>
                    <w:r>
                      <w:rPr>
                        <w:rFonts w:hint="eastAsia"/>
                        <w:szCs w:val="21"/>
                      </w:rPr>
                      <w:t>一、营业收入</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七、61</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22,583,288,487.07</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19,094,778,928.36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abdead4474c487bbd3e0d5e75651b5f"/>
                <w:id w:val="25154102"/>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7" w:firstLine="210" w:firstLineChars="100"/>
                      <w:rPr>
                        <w:color w:val="000000"/>
                        <w:szCs w:val="21"/>
                      </w:rPr>
                    </w:pPr>
                    <w:r>
                      <w:rPr>
                        <w:rFonts w:hint="eastAsia"/>
                        <w:szCs w:val="21"/>
                      </w:rPr>
                      <w:t>减：营业成本</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七、61</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19,617,559,054.87</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18,378,497,142.79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3ba72eef844a758e3a6210c6e6cefb"/>
                <w:id w:val="25154103"/>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税金及附加</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七、62</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82,869,814.75</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10,808,744.13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5e65f7ac2740b5b4be83546d48daf1"/>
                <w:id w:val="25154104"/>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销售费用</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七、63</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25,325,124.54</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20,604,885.83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bd3988905ac4cc6a1e0ce5112620c13"/>
                <w:id w:val="25154105"/>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管理费用</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七、64</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306,593,019.99</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194,440,209.87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c3bc37cb1cf4816aa092404fc826279"/>
                <w:id w:val="25154106"/>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财务费用</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七、65</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163,242,539.35</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103,275,093.88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3f7fd89a4e24fb8bf203b95ecaf373f"/>
                <w:id w:val="25154107"/>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资产减值损失</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4b9bb59a144934a5f7855df4841fc7"/>
                <w:id w:val="25154108"/>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7" w:firstLine="210" w:firstLineChars="100"/>
                      <w:rPr>
                        <w:color w:val="000000"/>
                        <w:szCs w:val="21"/>
                      </w:rPr>
                    </w:pPr>
                    <w:r>
                      <w:rPr>
                        <w:rFonts w:hint="eastAsia"/>
                        <w:szCs w:val="21"/>
                      </w:rPr>
                      <w:t>加：公允价值变动收益（损失以“－”号填列）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七、67</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-937,710.34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c1d26efdfa4579bb768c0f47bd39d6"/>
                <w:id w:val="25154109"/>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投资收益（损失以“－”号填列）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七、68</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-1,655,745.00</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172,531.48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0d5167b6d24b13b900e25bf1499473"/>
                <w:id w:val="25154110"/>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其中：对联营企业和合营企业的投资收益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-64,177.54</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outset" w:color="auto" w:sz="6" w:space="0"/>
                  <w:left w:val="outset" w:color="auto" w:sz="6" w:space="0"/>
                  <w:bottom w:val="outset" w:color="auto" w:sz="6" w:space="0"/>
                  <w:right w:val="outset" w:color="auto" w:sz="6" w:space="0"/>
                </w:tcBorders>
                <w:vAlign w:val="center"/>
              </w:tcPr>
              <w:sdt>
                <w:sdtPr>
                  <w:rPr>
                    <w:rFonts w:hint="eastAsia"/>
                  </w:rPr>
                  <w:tag w:val="_PLD_602f8df6085a44fb9592e5305e41e013"/>
                  <w:id w:val="25154111"/>
                  <w:lock w:val="sdtLocked"/>
                </w:sdtPr>
                <w:sdtEndPr>
                  <w:rPr>
                    <w:rFonts w:hint="eastAsia"/>
                  </w:rPr>
                </w:sdtEndPr>
                <w:sdtContent>
                  <w:p>
                    <w:pPr>
                      <w:pStyle w:val="76"/>
                      <w:ind w:firstLine="630" w:firstLineChars="300"/>
                    </w:pPr>
                    <w:r>
                      <w:rPr>
                        <w:rFonts w:hint="eastAsia"/>
                      </w:rPr>
                      <w:t>资产处置收益（损失以“－”号填列）</w:t>
                    </w:r>
                  </w:p>
                </w:sdtContent>
              </w:sdt>
            </w:tc>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1b96f49293427eb52e7e5ad579a8cd"/>
                <w:id w:val="25154112"/>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其他收益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七、70</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12,426,209.88</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3,392,272.22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e32fb790c2f4c3c9c85e85da239dc59"/>
                <w:id w:val="25154113"/>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rPr>
                        <w:color w:val="000000"/>
                        <w:szCs w:val="21"/>
                      </w:rPr>
                    </w:pPr>
                    <w:r>
                      <w:rPr>
                        <w:rFonts w:hint="eastAsia"/>
                        <w:szCs w:val="21"/>
                      </w:rPr>
                      <w:t>二、营业利润（亏损以“－”号填列）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2,398,469,398.45</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389,779,945.22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c6aa5de4cb34ebaa80edea5467f28b1"/>
                <w:id w:val="25154114"/>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7" w:firstLine="210" w:firstLineChars="100"/>
                      <w:rPr>
                        <w:color w:val="000000"/>
                        <w:szCs w:val="21"/>
                      </w:rPr>
                    </w:pPr>
                    <w:r>
                      <w:rPr>
                        <w:rFonts w:hint="eastAsia"/>
                        <w:szCs w:val="21"/>
                      </w:rPr>
                      <w:t>加：营业外收入</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七、71</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2,206,740.56</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6,725,405.75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125957c04e54264ae04fc54a7d636aa"/>
                <w:id w:val="25154115"/>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szCs w:val="21"/>
                      </w:rPr>
                    </w:pPr>
                    <w:r>
                      <w:rPr>
                        <w:rFonts w:hint="eastAsia"/>
                        <w:szCs w:val="21"/>
                      </w:rPr>
                      <w:t>其中：非流动资产处置利得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e4cd5c788934bf0ae6dd5ac370eef24"/>
                <w:id w:val="25154116"/>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7" w:firstLine="210" w:firstLineChars="100"/>
                      <w:rPr>
                        <w:color w:val="000000"/>
                        <w:szCs w:val="21"/>
                      </w:rPr>
                    </w:pPr>
                    <w:r>
                      <w:rPr>
                        <w:rFonts w:hint="eastAsia"/>
                        <w:szCs w:val="21"/>
                      </w:rPr>
                      <w:t>减：营业外支出</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七、72</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1,600.00</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895,377.29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c7b2a1d50e43e4a04d7231921ff1cd"/>
                <w:id w:val="25154117"/>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630" w:firstLineChars="300"/>
                      <w:rPr>
                        <w:color w:val="000000"/>
                        <w:szCs w:val="21"/>
                      </w:rPr>
                    </w:pPr>
                    <w:r>
                      <w:rPr>
                        <w:rFonts w:hint="eastAsia"/>
                        <w:szCs w:val="21"/>
                      </w:rPr>
                      <w:t>其中：非流动资产处置损失</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6ff4fb6daf64b999c29d6891e1510c0"/>
                <w:id w:val="25154118"/>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rPr>
                        <w:color w:val="000000"/>
                        <w:szCs w:val="21"/>
                      </w:rPr>
                    </w:pPr>
                    <w:r>
                      <w:rPr>
                        <w:rFonts w:hint="eastAsia"/>
                        <w:szCs w:val="21"/>
                      </w:rPr>
                      <w:t>三、利润总额（亏损总额以“－”号填列）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2,400,674,539.01</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e00626a96794529876ec7fdc095a835"/>
                <w:id w:val="25154119"/>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7" w:firstLine="210" w:firstLineChars="100"/>
                      <w:rPr>
                        <w:color w:val="000000"/>
                        <w:szCs w:val="21"/>
                      </w:rPr>
                    </w:pPr>
                    <w:r>
                      <w:rPr>
                        <w:rFonts w:hint="eastAsia"/>
                        <w:szCs w:val="21"/>
                      </w:rPr>
                      <w:t>减：所得税费用</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七、73</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360,101,180.85</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3666726c9f40129299cefac6404d2a"/>
                <w:id w:val="25154120"/>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rPr>
                        <w:color w:val="000000"/>
                        <w:szCs w:val="21"/>
                      </w:rPr>
                    </w:pPr>
                    <w:r>
                      <w:rPr>
                        <w:rFonts w:hint="eastAsia"/>
                        <w:szCs w:val="21"/>
                      </w:rPr>
                      <w:t>四、净利润（净亏损以“－”号填列）</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2,040,573,358.16</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outset" w:color="auto" w:sz="6" w:space="0"/>
                  <w:left w:val="outset" w:color="auto" w:sz="6" w:space="0"/>
                  <w:bottom w:val="outset" w:color="auto" w:sz="6" w:space="0"/>
                  <w:right w:val="outset" w:color="auto" w:sz="6" w:space="0"/>
                </w:tcBorders>
                <w:vAlign w:val="center"/>
              </w:tcPr>
              <w:sdt>
                <w:sdtPr>
                  <w:rPr>
                    <w:rFonts w:hint="eastAsia"/>
                    <w:szCs w:val="21"/>
                  </w:rPr>
                  <w:tag w:val="_PLD_b459fe8a041e4d70ad8d6441e7474408"/>
                  <w:id w:val="25154121"/>
                  <w:lock w:val="sdtLocked"/>
                </w:sdtPr>
                <w:sdtEndPr>
                  <w:rPr>
                    <w:rFonts w:hint="default"/>
                    <w:szCs w:val="24"/>
                  </w:rPr>
                </w:sdtEndPr>
                <w:sdtContent>
                  <w:p>
                    <w:pPr>
                      <w:pStyle w:val="76"/>
                      <w:ind w:firstLine="210" w:firstLineChars="100"/>
                    </w:pPr>
                    <w:r>
                      <w:rPr>
                        <w:rFonts w:hint="eastAsia"/>
                        <w:szCs w:val="21"/>
                      </w:rPr>
                      <w:t>（一）</w:t>
                    </w:r>
                    <w:r>
                      <w:t>持续经营净利润（净亏损以“－”号填列）</w:t>
                    </w:r>
                  </w:p>
                </w:sdtContent>
              </w:sdt>
            </w:tc>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2,040,573,358.16</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outset" w:color="auto" w:sz="6" w:space="0"/>
                  <w:left w:val="outset" w:color="auto" w:sz="6" w:space="0"/>
                  <w:bottom w:val="outset" w:color="auto" w:sz="6" w:space="0"/>
                  <w:right w:val="outset" w:color="auto" w:sz="6" w:space="0"/>
                </w:tcBorders>
                <w:vAlign w:val="center"/>
              </w:tcPr>
              <w:sdt>
                <w:sdtPr>
                  <w:tag w:val="_PLD_22cbea8eb8fd44ca9ec218c0635c1650"/>
                  <w:id w:val="25154122"/>
                  <w:lock w:val="sdtLocked"/>
                </w:sdtPr>
                <w:sdtContent>
                  <w:p>
                    <w:pPr>
                      <w:pStyle w:val="76"/>
                      <w:ind w:firstLine="210" w:firstLineChars="100"/>
                    </w:pPr>
                    <w:r>
                      <w:t>（二）终止经营净利润（净亏损以“－”号填列）</w:t>
                    </w:r>
                  </w:p>
                </w:sdtContent>
              </w:sdt>
            </w:tc>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31e052a8e24275a45a5fab4fc37d5a"/>
                <w:id w:val="25154123"/>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Chars="-19" w:hanging="39" w:hangingChars="19"/>
                      <w:rPr>
                        <w:szCs w:val="21"/>
                      </w:rPr>
                    </w:pPr>
                    <w:r>
                      <w:rPr>
                        <w:rFonts w:hint="eastAsia"/>
                        <w:szCs w:val="21"/>
                      </w:rPr>
                      <w:t>五、其他综合收益的税后净额</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9ce4680f37f4875b9eac39b4030b168"/>
                <w:id w:val="25154124"/>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（一）以后不能重分类进损益的其他综合收益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e75cf11705469c98a78608da62872e"/>
                <w:id w:val="25154125"/>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1.重新计量设定受益计划净负债</w:t>
                    </w:r>
                    <w:r>
                      <w:rPr>
                        <w:rFonts w:hint="eastAsia"/>
                        <w:szCs w:val="21"/>
                      </w:rPr>
                      <w:t>或</w:t>
                    </w:r>
                    <w:r>
                      <w:rPr>
                        <w:szCs w:val="21"/>
                      </w:rPr>
                      <w:t>净资产的变动</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644d8544a84b93a6b5462e663e667b"/>
                <w:id w:val="25154126"/>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2.权益法下在被投资单位不能重分类进损益的其他综合收益中享有的份额</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3231b391cf44259be89af087cdc98dd"/>
                <w:id w:val="25154127"/>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rFonts w:hint="eastAsia"/>
                        <w:szCs w:val="21"/>
                      </w:rPr>
                      <w:t>（二）以后将重分类进损益的其他综合收益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bfca18cca3e4981b4a9df69e4eb1afc"/>
                <w:id w:val="25154128"/>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1.权益法下在被投资单位以后将重分类进损益的其他综合收益中享有的份额</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ff9405d231c4f7287c4811e8d01b273"/>
                <w:id w:val="25154129"/>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2.可供出售金融资产公允价值变动损益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12fab2096a4cca9f9bfa5a764f5621"/>
                <w:id w:val="25154130"/>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3.持有至到期投资重分类为可供出售金融资产损益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b81f8e118443a3841ae2cc07984bc7"/>
                <w:id w:val="25154131"/>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4.现金流量套期损益的有效部分</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53784ac1af14311bc4a4a55fa0f46b8"/>
                <w:id w:val="25154132"/>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5.外币财务报表折算差额</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18d3eace0194bdaab8be6be0d171959"/>
                <w:id w:val="25154133"/>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firstLine="420" w:firstLineChars="200"/>
                      <w:rPr>
                        <w:szCs w:val="21"/>
                      </w:rPr>
                    </w:pPr>
                    <w:r>
                      <w:rPr>
                        <w:szCs w:val="21"/>
                      </w:rPr>
                      <w:t>6.其他</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f61d24b08174eceac4020926c459b22"/>
                <w:id w:val="25154134"/>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19"/>
                      <w:rPr>
                        <w:szCs w:val="21"/>
                      </w:rPr>
                    </w:pPr>
                    <w:r>
                      <w:rPr>
                        <w:rFonts w:hint="eastAsia"/>
                        <w:szCs w:val="21"/>
                      </w:rPr>
                      <w:t>六、综合收益总额</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2,040,573,358.16</w:t>
                </w:r>
              </w:p>
            </w:tc>
            <w:tc>
              <w:tcPr>
                <w:tcW w:w="2001" w:type="dxa"/>
                <w:tcBorders>
                  <w:top w:val="outset" w:color="auto" w:sz="6" w:space="0"/>
                  <w:left w:val="outset" w:color="auto" w:sz="6" w:space="0"/>
                  <w:bottom w:val="outset" w:color="auto" w:sz="6" w:space="0"/>
                  <w:right w:val="outset" w:color="auto" w:sz="6" w:space="0"/>
                </w:tcBorders>
                <w:vAlign w:val="center"/>
              </w:tcPr>
              <w:p>
                <w:pPr>
                  <w:pStyle w:val="76"/>
                  <w:jc w:val="right"/>
                  <w:rPr>
                    <w:szCs w:val="21"/>
                  </w:rPr>
                </w:pPr>
                <w: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03b42b52c0c44e09620b4bece10066f"/>
                <w:id w:val="25154135"/>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leftChars="-19" w:hanging="39" w:hangingChars="19"/>
                      <w:rPr>
                        <w:szCs w:val="21"/>
                      </w:rPr>
                    </w:pPr>
                    <w:r>
                      <w:rPr>
                        <w:rFonts w:hint="eastAsia"/>
                        <w:szCs w:val="21"/>
                      </w:rPr>
                      <w:t>七</w:t>
                    </w:r>
                    <w:r>
                      <w:rPr>
                        <w:szCs w:val="21"/>
                      </w:rPr>
                      <w:t>、每股收益：</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7f435c3a0bf4b2699d10ca3cfa89565"/>
                <w:id w:val="25154136"/>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szCs w:val="21"/>
                      </w:rPr>
                      <w:t>（一）基本每股收益</w:t>
                    </w:r>
                    <w:r>
                      <w:rPr>
                        <w:rFonts w:hint="eastAsia"/>
                        <w:szCs w:val="21"/>
                      </w:rPr>
                      <w:t>(元/股)</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r>
                  <w:t>0.7962</w:t>
                </w: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r>
                  <w:t>0.1544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6769ef48194bc9a42f07cd5abf9ca7"/>
                <w:id w:val="25154137"/>
                <w:lock w:val="sdtLocked"/>
              </w:sdtPr>
              <w:sdtContent>
                <w:tc>
                  <w:tcPr>
                    <w:tcW w:w="4563" w:type="dxa"/>
                    <w:tcBorders>
                      <w:top w:val="outset" w:color="auto" w:sz="6" w:space="0"/>
                      <w:left w:val="outset" w:color="auto" w:sz="6" w:space="0"/>
                      <w:bottom w:val="outset" w:color="auto" w:sz="6" w:space="0"/>
                      <w:right w:val="outset" w:color="auto" w:sz="6" w:space="0"/>
                    </w:tcBorders>
                    <w:vAlign w:val="center"/>
                  </w:tcPr>
                  <w:p>
                    <w:pPr>
                      <w:pStyle w:val="76"/>
                      <w:ind w:firstLine="210" w:firstLineChars="100"/>
                      <w:rPr>
                        <w:szCs w:val="21"/>
                      </w:rPr>
                    </w:pPr>
                    <w:r>
                      <w:rPr>
                        <w:szCs w:val="21"/>
                      </w:rPr>
                      <w:t>（二）稀释每股收益</w:t>
                    </w:r>
                    <w:r>
                      <w:rPr>
                        <w:rFonts w:hint="eastAsia"/>
                        <w:szCs w:val="21"/>
                      </w:rPr>
                      <w:t>(元/股)</w:t>
                    </w:r>
                  </w:p>
                </w:tc>
              </w:sdtContent>
            </w:sdt>
            <w:tc>
              <w:tcPr>
                <w:tcW w:w="944"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r>
                  <w:t>0.7962</w:t>
                </w:r>
              </w:p>
            </w:tc>
            <w:tc>
              <w:tcPr>
                <w:tcW w:w="2001" w:type="dxa"/>
                <w:tcBorders>
                  <w:top w:val="outset" w:color="auto" w:sz="6" w:space="0"/>
                  <w:left w:val="outset" w:color="auto" w:sz="6" w:space="0"/>
                  <w:bottom w:val="outset" w:color="auto" w:sz="6" w:space="0"/>
                  <w:right w:val="outset" w:color="auto" w:sz="6" w:space="0"/>
                </w:tcBorders>
              </w:tcPr>
              <w:p>
                <w:pPr>
                  <w:pStyle w:val="76"/>
                  <w:jc w:val="right"/>
                  <w:rPr>
                    <w:szCs w:val="21"/>
                  </w:rPr>
                </w:pPr>
                <w:r>
                  <w:t>0.1544</w:t>
                </w:r>
              </w:p>
            </w:tc>
          </w:tr>
        </w:tbl>
        <w:p>
          <w:pPr>
            <w:pStyle w:val="76"/>
          </w:pPr>
        </w:p>
        <w:p>
          <w:pPr>
            <w:pStyle w:val="76"/>
            <w:snapToGrid w:val="0"/>
            <w:spacing w:line="240" w:lineRule="atLeast"/>
            <w:ind w:right="-153" w:rightChars="-7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25154138"/>
              <w:lock w:val="sdtLocked"/>
              <w15:dataBinding w:prefixMappings="xmlns:clcid-cgi='clcid-cgi'" w:xpath="/*/clcid-cgi:GongSiFaDingDaiBiaoRen[not(@periodRef)]" w:storeItemID="{89EBAB94-44A0-46A2-B712-30D997D04A6D}"/>
              <w:text/>
            </w:sdtPr>
            <w:sdtEndPr>
              <w:rPr>
                <w:rFonts w:hint="eastAsia"/>
                <w:szCs w:val="21"/>
              </w:rPr>
            </w:sdtEnd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f6ea3ac8976c47519c0433d2c66ed20f"/>
              <w:id w:val="25154139"/>
              <w:lock w:val="sdtLocked"/>
              <w15:dataBinding w:prefixMappings="xmlns:clcid-mr='clcid-mr'" w:xpath="/*/clcid-mr:ZhuGuanKuaiJiGongZuoFuZeRenXingMing[not(@periodRef)]" w:storeItemID="{89EBAB94-44A0-46A2-B712-30D997D04A6D}"/>
              <w:text/>
            </w:sdtPr>
            <w:sdtEndPr>
              <w:rPr>
                <w:rFonts w:hint="eastAsia"/>
                <w:szCs w:val="21"/>
              </w:rPr>
            </w:sdtEnd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014f49147db6456caf4538fd5d691051"/>
              <w:id w:val="25154140"/>
              <w:lock w:val="sdtLocked"/>
              <w15:dataBinding w:prefixMappings="xmlns:clcid-mr='clcid-mr'" w:xpath="/*/clcid-mr:KuaiJiJiGouFuZeRenXingMing[not(@periodRef)]" w:storeItemID="{89EBAB94-44A0-46A2-B712-30D997D04A6D}"/>
              <w:text/>
            </w:sdtPr>
            <w:sdtEndPr>
              <w:rPr>
                <w:rFonts w:hint="eastAsia"/>
                <w:szCs w:val="21"/>
              </w:rPr>
            </w:sdtEndPr>
            <w:sdtContent>
              <w:r>
                <w:rPr>
                  <w:rFonts w:hint="eastAsia"/>
                  <w:szCs w:val="21"/>
                </w:rPr>
                <w:t>杜忠军</w:t>
              </w:r>
            </w:sdtContent>
          </w:sdt>
        </w:p>
      </w:sdtContent>
    </w:sdt>
    <w:p>
      <w:pPr>
        <w:pStyle w:val="76"/>
        <w:rPr>
          <w:color w:val="FF0000"/>
          <w:szCs w:val="21"/>
        </w:rPr>
      </w:pPr>
    </w:p>
    <w:p>
      <w:pPr>
        <w:pStyle w:val="76"/>
        <w:rPr>
          <w:color w:val="FF0000"/>
          <w:szCs w:val="21"/>
        </w:rPr>
      </w:pPr>
    </w:p>
    <w:p>
      <w:pPr>
        <w:pStyle w:val="76"/>
        <w:rPr>
          <w:color w:val="FF0000"/>
          <w:szCs w:val="21"/>
        </w:rPr>
      </w:pPr>
    </w:p>
    <w:sdt>
      <w:sdtPr>
        <w:rPr>
          <w:rFonts w:hint="eastAsia" w:ascii="宋体" w:hAnsi="宋体" w:cs="宋体"/>
          <w:b w:val="0"/>
          <w:bCs w:val="0"/>
          <w:kern w:val="0"/>
          <w:szCs w:val="24"/>
        </w:rPr>
        <w:tag w:val="_GBC_de8d3cfcf111414a940cf01324ef9389"/>
        <w:id w:val="25154190"/>
        <w:lock w:val="sdtLocked"/>
        <w:placeholder>
          <w:docPart w:val="GBC22222222222222222222222222222"/>
        </w:placeholder>
      </w:sdtPr>
      <w:sdtEndPr>
        <w:rPr>
          <w:rFonts w:hint="eastAsia" w:ascii="宋体" w:hAnsi="宋体" w:cs="宋体"/>
          <w:b w:val="0"/>
          <w:bCs w:val="0"/>
          <w:kern w:val="0"/>
          <w:szCs w:val="21"/>
        </w:rPr>
      </w:sdtEndPr>
      <w:sdtContent>
        <w:p>
          <w:pPr>
            <w:pStyle w:val="79"/>
            <w:jc w:val="center"/>
          </w:pPr>
          <w:r>
            <w:t>现金流量表</w:t>
          </w:r>
        </w:p>
        <w:p>
          <w:pPr>
            <w:pStyle w:val="76"/>
            <w:jc w:val="center"/>
            <w:rPr>
              <w:b/>
              <w:bCs/>
              <w:szCs w:val="21"/>
            </w:rPr>
          </w:pPr>
          <w:r>
            <w:rPr>
              <w:szCs w:val="21"/>
            </w:rPr>
            <w:t>2018年</w:t>
          </w:r>
          <w:r>
            <w:rPr>
              <w:rFonts w:hint="eastAsia"/>
              <w:szCs w:val="21"/>
            </w:rPr>
            <w:t>1—6</w:t>
          </w:r>
          <w:r>
            <w:rPr>
              <w:szCs w:val="21"/>
            </w:rPr>
            <w:t>月</w:t>
          </w:r>
        </w:p>
        <w:p>
          <w:pPr>
            <w:pStyle w:val="76"/>
            <w:ind w:right="105" w:rightChars="50"/>
            <w:jc w:val="right"/>
            <w:rPr>
              <w:szCs w:val="21"/>
            </w:rPr>
          </w:pPr>
          <w:r>
            <w:rPr>
              <w:szCs w:val="21"/>
            </w:rPr>
            <w:t>单位:</w:t>
          </w:r>
          <w:sdt>
            <w:sdtPr>
              <w:rPr>
                <w:szCs w:val="21"/>
              </w:rPr>
              <w:alias w:val="单位：母公司现金流量表"/>
              <w:tag w:val="_GBC_72a5fd28efa142459207d964e7abe8be"/>
              <w:id w:val="25154142"/>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251541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2"/>
            <w:tblW w:w="993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029"/>
            <w:gridCol w:w="2170"/>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fa81a30a9f43f195538a6091429ed7"/>
                <w:id w:val="25154144"/>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jc w:val="center"/>
                      <w:rPr>
                        <w:b/>
                        <w:bCs/>
                        <w:szCs w:val="21"/>
                      </w:rPr>
                    </w:pPr>
                    <w:r>
                      <w:rPr>
                        <w:b/>
                        <w:bCs/>
                        <w:szCs w:val="21"/>
                      </w:rPr>
                      <w:t>项目</w:t>
                    </w:r>
                  </w:p>
                </w:tc>
              </w:sdtContent>
            </w:sdt>
            <w:sdt>
              <w:sdtPr>
                <w:tag w:val="_PLD_f11e6affd8734bce904c215735dce435"/>
                <w:id w:val="25154145"/>
                <w:lock w:val="sdtLocked"/>
              </w:sdtPr>
              <w:sdtContent>
                <w:tc>
                  <w:tcPr>
                    <w:tcW w:w="1029" w:type="dxa"/>
                    <w:tcBorders>
                      <w:top w:val="outset" w:color="auto" w:sz="6" w:space="0"/>
                      <w:left w:val="outset" w:color="auto" w:sz="6" w:space="0"/>
                      <w:bottom w:val="outset" w:color="auto" w:sz="6" w:space="0"/>
                      <w:right w:val="outset" w:color="auto" w:sz="6" w:space="0"/>
                    </w:tcBorders>
                  </w:tcPr>
                  <w:p>
                    <w:pPr>
                      <w:pStyle w:val="76"/>
                      <w:autoSpaceDE w:val="0"/>
                      <w:autoSpaceDN w:val="0"/>
                      <w:adjustRightInd w:val="0"/>
                      <w:jc w:val="center"/>
                      <w:rPr>
                        <w:b/>
                        <w:szCs w:val="21"/>
                      </w:rPr>
                    </w:pPr>
                    <w:r>
                      <w:rPr>
                        <w:b/>
                        <w:szCs w:val="21"/>
                      </w:rPr>
                      <w:t>附注</w:t>
                    </w:r>
                  </w:p>
                </w:tc>
              </w:sdtContent>
            </w:sdt>
            <w:sdt>
              <w:sdtPr>
                <w:tag w:val="_PLD_23d5b9282c2b4c9890eed31331ecc65e"/>
                <w:id w:val="25154146"/>
                <w:lock w:val="sdtLocked"/>
              </w:sdtPr>
              <w:sdtContent>
                <w:tc>
                  <w:tcPr>
                    <w:tcW w:w="2170" w:type="dxa"/>
                    <w:tcBorders>
                      <w:top w:val="outset" w:color="auto" w:sz="6" w:space="0"/>
                      <w:left w:val="outset" w:color="auto" w:sz="6" w:space="0"/>
                      <w:bottom w:val="outset" w:color="auto" w:sz="6" w:space="0"/>
                      <w:right w:val="outset" w:color="auto" w:sz="6" w:space="0"/>
                    </w:tcBorders>
                  </w:tcPr>
                  <w:p>
                    <w:pPr>
                      <w:pStyle w:val="76"/>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8e44b1f6e89f4e8785163e8c2e2441c5"/>
                <w:id w:val="25154147"/>
                <w:lock w:val="sdtLocked"/>
              </w:sdtPr>
              <w:sdtContent>
                <w:tc>
                  <w:tcPr>
                    <w:tcW w:w="2199" w:type="dxa"/>
                    <w:tcBorders>
                      <w:top w:val="outset" w:color="auto" w:sz="6" w:space="0"/>
                      <w:left w:val="outset" w:color="auto" w:sz="6" w:space="0"/>
                      <w:bottom w:val="outset" w:color="auto" w:sz="6" w:space="0"/>
                      <w:right w:val="outset" w:color="auto" w:sz="6" w:space="0"/>
                    </w:tcBorders>
                  </w:tcPr>
                  <w:p>
                    <w:pPr>
                      <w:pStyle w:val="76"/>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c585e53ea84eabbe97548695106ead"/>
                <w:id w:val="25154148"/>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一、经营活动产生的现金流量：</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a4f148d89084da8b94ba71dc7c1d8ef"/>
                <w:id w:val="25154149"/>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销售商品、提供劳务收到的现金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14,385,572,669.11</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14,421,041,677.27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e8914f51ace46afb376957895f58b2c"/>
                <w:id w:val="25154150"/>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收到的税费返还</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11,273,819.61</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8,089,738.01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ffa9391b3d74a198fac45f617d3f20e"/>
                <w:id w:val="25154151"/>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收到其他与经营活动有关的现金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七、75</w:t>
                </w: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253,496,229.95</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136,024,523.09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32f56a2e904bd49a13fd5ff5c4f2dd"/>
                <w:id w:val="25154152"/>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经营活动现金流入小计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14,650,342,718.67</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14,565,155,938.37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0ad4cb47be4f14977a990b80b50117"/>
                <w:id w:val="25154153"/>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购买商品、接受劳务支付的现金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12,369,491,354.98</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11,483,791,103.86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c0c1b19da4240e7862f557cced8a49e"/>
                <w:id w:val="25154154"/>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支付给职工以及为职工支付的现金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932,330,334.49</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749,942,201.46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80f8bb531ee46a893d137412eaa5d15"/>
                <w:id w:val="25154155"/>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支付的各项税费</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1,072,110,890.88</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98,544,670.90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5b85444afb44df78efbddac59b77f7e"/>
                <w:id w:val="25154156"/>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支付其他与经营活动有关的现金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七、75</w:t>
                </w: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130,325,565.61</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249,324,254.63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ab7fe010cb4ed68aec08244308f872"/>
                <w:id w:val="25154157"/>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经营活动现金流出小计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14,504,258,145.96</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12,581,602,230.85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46cdeddcb34fa8b848d74b983e9e1c"/>
                <w:id w:val="25154158"/>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630" w:firstLineChars="300"/>
                      <w:rPr>
                        <w:color w:val="000000"/>
                        <w:szCs w:val="21"/>
                      </w:rPr>
                    </w:pPr>
                    <w:r>
                      <w:rPr>
                        <w:rFonts w:hint="eastAsia"/>
                        <w:szCs w:val="21"/>
                      </w:rPr>
                      <w:t>经营活动产生的现金流量净额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146,084,572.71</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1,983,553,707.52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177d0e9d814a7baa5c8af5f3c42310"/>
                <w:id w:val="25154159"/>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二、投资活动产生的现金流量：</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color w:val="008000"/>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color w:val="008000"/>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3d15264adaa4e059096d265dd2ed15e"/>
                <w:id w:val="25154160"/>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收回投资收到的现金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53,612,866.84</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105,004,359.01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70f83f1b8a486ba8d6c85cbc87dcbc"/>
                <w:id w:val="25154161"/>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取得投资收益收到的现金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0.00</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775,467.86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efff48b535449a902000645163cbad"/>
                <w:id w:val="25154162"/>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处置固定资产、无形资产和其他长期资产收回的现金净额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5,549,227.56</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227,523.91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5abdcab0866401c91932bf54e12caa5"/>
                <w:id w:val="25154163"/>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处置子公司及其他营业单位收到的现金净额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a1027fdc44646cc837727a11c7893fe"/>
                <w:id w:val="25154164"/>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收到其他与投资活动有关的现金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七、75</w:t>
                </w: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4,000.00</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b797971ab6488fa101a742c187af59"/>
                <w:id w:val="25154165"/>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投资活动现金流入小计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59,166,094.40</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106,007,350.78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882fc9e1f5e47ca918bc7a917382637"/>
                <w:id w:val="25154166"/>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购建固定资产、无形资产和其他长期资产支付的现金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15,066,057.07</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12,345,069.42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0772150da8f44cba4daec847321fa6b"/>
                <w:id w:val="25154167"/>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投资支付的现金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31,071,694.95</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92,590,112.03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c0ccc7322c741d5b381857cf35c538a"/>
                <w:id w:val="25154168"/>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取得子公司及其他营业单位支付的现金净额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ebaaf6c56246d7b65d3214310a1013"/>
                <w:id w:val="25154169"/>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支付其他与投资活动有关的现金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91f9565b794961b777e992ae5e98c3"/>
                <w:id w:val="25154170"/>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投资活动现金流出小计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46,137,752.02</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104,935,181.45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59d54af14f4be69a30d9dd20a1f621"/>
                <w:id w:val="25154171"/>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630" w:firstLineChars="300"/>
                      <w:rPr>
                        <w:color w:val="000000"/>
                        <w:szCs w:val="21"/>
                      </w:rPr>
                    </w:pPr>
                    <w:r>
                      <w:rPr>
                        <w:rFonts w:hint="eastAsia"/>
                        <w:szCs w:val="21"/>
                      </w:rPr>
                      <w:t>投资活动产生的现金流量净额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13,028,342.38</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1,072,169.33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3f4b4f1d0914277b756e60451255a08"/>
                <w:id w:val="25154172"/>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三、筹资活动产生的现金流量：</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color w:val="008000"/>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color w:val="008000"/>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a9987759caa42c895702a5e8f5349ea"/>
                <w:id w:val="25154173"/>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吸收投资收到的现金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c516b31ba7141b486481627b4f9eb38"/>
                <w:id w:val="25154174"/>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取得借款收到的现金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4,839,120,712.25</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5,221,929,122.42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e929be57a60440294f24038a216c95c"/>
                <w:id w:val="25154175"/>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发行债券收到的现金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4c437474abd45cdb2c5d8310e20c0da"/>
                <w:id w:val="25154176"/>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szCs w:val="21"/>
                      </w:rPr>
                    </w:pPr>
                    <w:r>
                      <w:rPr>
                        <w:rFonts w:hint="eastAsia"/>
                        <w:szCs w:val="21"/>
                      </w:rPr>
                      <w:t>收到其他与筹资活动有关的现金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e35c475417f44738d661d4358fe0579"/>
                <w:id w:val="25154177"/>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筹资活动现金流入小计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4,839,120,712.25</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5,221,929,122.42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7d123f22634e709d297916dae2c603"/>
                <w:id w:val="25154178"/>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偿还债务支付的现金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4,714,677,531.25</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4,983,136,978.24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ef258e0c3744ddbb6bc4e6d3ba6b492"/>
                <w:id w:val="25154179"/>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分配股利、利润或偿付利息支付的现金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1,424,458,882.00</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159,152,072.89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900ac0a6524c5f83b30d7c1026c84a"/>
                <w:id w:val="25154180"/>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支付其他与筹资活动有关的现金</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r>
                  <w:rPr>
                    <w:rFonts w:hint="eastAsia"/>
                    <w:szCs w:val="21"/>
                  </w:rPr>
                  <w:t>七、75</w:t>
                </w: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4,451,350.82</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4,881,800.13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df042598224cee90f6a91b372cd652"/>
                <w:id w:val="25154181"/>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420" w:firstLineChars="200"/>
                      <w:rPr>
                        <w:color w:val="000000"/>
                        <w:szCs w:val="21"/>
                      </w:rPr>
                    </w:pPr>
                    <w:r>
                      <w:rPr>
                        <w:rFonts w:hint="eastAsia"/>
                        <w:szCs w:val="21"/>
                      </w:rPr>
                      <w:t>筹资活动现金流出小计</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6,143,587,764.07</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5,147,170,851.26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750f9b97d148fb94fe3e2e588f6358"/>
                <w:id w:val="25154182"/>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630" w:firstLineChars="300"/>
                      <w:rPr>
                        <w:color w:val="000000"/>
                        <w:szCs w:val="21"/>
                      </w:rPr>
                    </w:pPr>
                    <w:r>
                      <w:rPr>
                        <w:rFonts w:hint="eastAsia"/>
                        <w:szCs w:val="21"/>
                      </w:rPr>
                      <w:t>筹资活动产生的现金流量净额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-1,304,467,051.82</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74,758,271.16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0b3188426f451db4a27214dcfadfe4"/>
                <w:id w:val="25154183"/>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四、汇率变动对现金及现金等价物的影响</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rPr>
                    <w:rFonts w:asciiTheme="minorEastAsia" w:hAnsiTheme="minorEastAsia" w:eastAsiaTheme="minorEastAsia"/>
                    <w:bCs/>
                    <w:szCs w:val="21"/>
                  </w:rPr>
                  <w:t>1,571,714.36</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b2c75f11c7744e7a80d12f807da7d8c"/>
                <w:id w:val="25154184"/>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五、现金及现金等价物净增加额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-1,143,782,422.37</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2,059,384,148.01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c2d595025d14596a2cc6a5d5f5defaf"/>
                <w:id w:val="25154185"/>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ind w:firstLine="210" w:firstLineChars="100"/>
                      <w:rPr>
                        <w:color w:val="000000"/>
                        <w:szCs w:val="21"/>
                      </w:rPr>
                    </w:pPr>
                    <w:r>
                      <w:rPr>
                        <w:rFonts w:hint="eastAsia"/>
                        <w:szCs w:val="21"/>
                      </w:rPr>
                      <w:t>加：期初现金及现金等价物余额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2,837,018,033.86</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1,040,679,800.32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92a77fcc504f0e85c684dbabfeec01"/>
                <w:id w:val="25154186"/>
                <w:lock w:val="sdtLocked"/>
              </w:sdtPr>
              <w:sdtContent>
                <w:tc>
                  <w:tcPr>
                    <w:tcW w:w="4536" w:type="dxa"/>
                    <w:tcBorders>
                      <w:top w:val="outset" w:color="auto" w:sz="6" w:space="0"/>
                      <w:left w:val="outset" w:color="auto" w:sz="6" w:space="0"/>
                      <w:bottom w:val="outset" w:color="auto" w:sz="6" w:space="0"/>
                      <w:right w:val="outset" w:color="auto" w:sz="6" w:space="0"/>
                    </w:tcBorders>
                  </w:tcPr>
                  <w:p>
                    <w:pPr>
                      <w:pStyle w:val="76"/>
                      <w:rPr>
                        <w:color w:val="000000"/>
                        <w:szCs w:val="21"/>
                      </w:rPr>
                    </w:pPr>
                    <w:r>
                      <w:rPr>
                        <w:rFonts w:hint="eastAsia"/>
                        <w:b/>
                        <w:bCs/>
                        <w:szCs w:val="21"/>
                      </w:rPr>
                      <w:t>六、期末现金及现金等价物余额</w:t>
                    </w:r>
                  </w:p>
                </w:tc>
              </w:sdtContent>
            </w:sdt>
            <w:tc>
              <w:tcPr>
                <w:tcW w:w="1029" w:type="dxa"/>
                <w:tcBorders>
                  <w:top w:val="outset" w:color="auto" w:sz="6" w:space="0"/>
                  <w:left w:val="outset" w:color="auto" w:sz="6" w:space="0"/>
                  <w:bottom w:val="outset" w:color="auto" w:sz="6" w:space="0"/>
                  <w:right w:val="outset" w:color="auto" w:sz="6" w:space="0"/>
                </w:tcBorders>
              </w:tcPr>
              <w:p>
                <w:pPr>
                  <w:pStyle w:val="76"/>
                  <w:rPr>
                    <w:szCs w:val="21"/>
                  </w:rPr>
                </w:pPr>
              </w:p>
            </w:tc>
            <w:tc>
              <w:tcPr>
                <w:tcW w:w="2170" w:type="dxa"/>
                <w:tcBorders>
                  <w:top w:val="outset" w:color="auto" w:sz="6" w:space="0"/>
                  <w:left w:val="outset" w:color="auto" w:sz="6" w:space="0"/>
                  <w:bottom w:val="outset" w:color="auto" w:sz="6" w:space="0"/>
                  <w:right w:val="outset" w:color="auto" w:sz="6" w:space="0"/>
                </w:tcBorders>
              </w:tcPr>
              <w:p>
                <w:pPr>
                  <w:pStyle w:val="76"/>
                  <w:jc w:val="right"/>
                  <w:rPr>
                    <w:szCs w:val="21"/>
                  </w:rPr>
                </w:pPr>
                <w:r>
                  <w:t>1,693,235,611.49</w:t>
                </w:r>
              </w:p>
            </w:tc>
            <w:tc>
              <w:tcPr>
                <w:tcW w:w="2199" w:type="dxa"/>
                <w:tcBorders>
                  <w:top w:val="outset" w:color="auto" w:sz="6" w:space="0"/>
                  <w:left w:val="outset" w:color="auto" w:sz="6" w:space="0"/>
                  <w:bottom w:val="outset" w:color="auto" w:sz="6" w:space="0"/>
                  <w:right w:val="outset" w:color="auto" w:sz="6" w:space="0"/>
                </w:tcBorders>
              </w:tcPr>
              <w:p>
                <w:pPr>
                  <w:pStyle w:val="76"/>
                  <w:jc w:val="right"/>
                  <w:rPr>
                    <w:szCs w:val="21"/>
                  </w:rPr>
                </w:pPr>
                <w:r>
                  <w:t>3,100,063,948.33</w:t>
                </w:r>
              </w:p>
            </w:tc>
          </w:tr>
        </w:tbl>
        <w:p>
          <w:pPr>
            <w:pStyle w:val="76"/>
          </w:pPr>
        </w:p>
        <w:p>
          <w:pPr>
            <w:pStyle w:val="76"/>
            <w:snapToGrid w:val="0"/>
            <w:spacing w:line="240" w:lineRule="atLeast"/>
            <w:ind w:right="-153" w:rightChars="-7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25154187"/>
              <w:lock w:val="sdtLocked"/>
              <w15:dataBinding w:prefixMappings="xmlns:clcid-cgi='clcid-cgi'" w:xpath="/*/clcid-cgi:GongSiFaDingDaiBiaoRen[not(@periodRef)]" w:storeItemID="{89EBAB94-44A0-46A2-B712-30D997D04A6D}"/>
              <w:text/>
            </w:sdtPr>
            <w:sdtEndPr>
              <w:rPr>
                <w:rFonts w:hint="eastAsia"/>
                <w:szCs w:val="21"/>
              </w:rPr>
            </w:sdtEnd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22a142fd48d40819683afa22a581788"/>
              <w:id w:val="25154188"/>
              <w:lock w:val="sdtLocked"/>
              <w15:dataBinding w:prefixMappings="xmlns:clcid-mr='clcid-mr'" w:xpath="/*/clcid-mr:ZhuGuanKuaiJiGongZuoFuZeRenXingMing[not(@periodRef)]" w:storeItemID="{89EBAB94-44A0-46A2-B712-30D997D04A6D}"/>
              <w:text/>
            </w:sdtPr>
            <w:sdtEndPr>
              <w:rPr>
                <w:rFonts w:hint="eastAsia"/>
                <w:szCs w:val="21"/>
              </w:rPr>
            </w:sdtEnd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51e7353d05124da587ebf3d4befbfee2"/>
              <w:id w:val="25154189"/>
              <w:lock w:val="sdtLocked"/>
              <w15:dataBinding w:prefixMappings="xmlns:clcid-mr='clcid-mr'" w:xpath="/*/clcid-mr:KuaiJiJiGouFuZeRenXingMing[not(@periodRef)]" w:storeItemID="{89EBAB94-44A0-46A2-B712-30D997D04A6D}"/>
              <w:text/>
            </w:sdtPr>
            <w:sdtEndPr>
              <w:rPr>
                <w:rFonts w:hint="eastAsia"/>
                <w:szCs w:val="21"/>
              </w:rPr>
            </w:sdtEndPr>
            <w:sdtContent>
              <w:r>
                <w:rPr>
                  <w:rFonts w:hint="eastAsia"/>
                  <w:szCs w:val="21"/>
                </w:rPr>
                <w:t>杜忠军</w:t>
              </w:r>
            </w:sdtContent>
          </w:sdt>
        </w:p>
        <w:p>
          <w:pPr>
            <w:pStyle w:val="76"/>
            <w:snapToGrid w:val="0"/>
            <w:spacing w:line="240" w:lineRule="atLeast"/>
            <w:ind w:right="-153" w:rightChars="-73"/>
            <w:rPr>
              <w:szCs w:val="21"/>
            </w:rPr>
          </w:pPr>
        </w:p>
      </w:sdtContent>
    </w:sdt>
    <w:p>
      <w:pPr>
        <w:pStyle w:val="76"/>
        <w:rPr>
          <w:szCs w:val="21"/>
        </w:rPr>
        <w:sectPr>
          <w:pgSz w:w="11906" w:h="16838"/>
          <w:pgMar w:top="1525" w:right="1276" w:bottom="1440" w:left="1797" w:header="851" w:footer="992" w:gutter="0"/>
          <w:cols w:space="425" w:num="1"/>
          <w:docGrid w:type="lines" w:linePitch="312" w:charSpace="0"/>
        </w:sectPr>
      </w:pPr>
    </w:p>
    <w:sdt>
      <w:sdtPr>
        <w:rPr>
          <w:rFonts w:ascii="宋体" w:hAnsi="宋体" w:cs="宋体"/>
          <w:b w:val="0"/>
          <w:bCs w:val="0"/>
          <w:kern w:val="0"/>
          <w:szCs w:val="24"/>
        </w:rPr>
        <w:tag w:val="_GBC_f6396333f93949a599b3a170d5a7962b"/>
        <w:id w:val="25154276"/>
        <w:lock w:val="sdtLocked"/>
        <w:placeholder>
          <w:docPart w:val="GBC22222222222222222222222222222"/>
        </w:placeholder>
      </w:sdtPr>
      <w:sdtEndPr>
        <w:rPr>
          <w:rFonts w:ascii="宋体" w:hAnsi="宋体" w:cs="宋体"/>
          <w:b w:val="0"/>
          <w:bCs w:val="0"/>
          <w:color w:val="FF0000"/>
          <w:kern w:val="0"/>
          <w:szCs w:val="24"/>
        </w:rPr>
      </w:sdtEndPr>
      <w:sdtContent>
        <w:p>
          <w:pPr>
            <w:pStyle w:val="79"/>
            <w:jc w:val="center"/>
          </w:pPr>
          <w:r>
            <w:rPr>
              <w:rFonts w:hint="eastAsia"/>
            </w:rPr>
            <w:t>所有者权益变动表</w:t>
          </w:r>
        </w:p>
        <w:p>
          <w:pPr>
            <w:pStyle w:val="76"/>
            <w:tabs>
              <w:tab w:val="left" w:pos="10080"/>
            </w:tabs>
            <w:snapToGrid w:val="0"/>
            <w:spacing w:line="240" w:lineRule="atLeast"/>
            <w:ind w:right="25" w:rightChars="12"/>
            <w:jc w:val="center"/>
            <w:rPr>
              <w:b/>
              <w:bCs/>
              <w:szCs w:val="21"/>
            </w:rPr>
          </w:pPr>
          <w:r>
            <w:rPr>
              <w:szCs w:val="21"/>
            </w:rPr>
            <w:t>2018年</w:t>
          </w:r>
          <w:r>
            <w:rPr>
              <w:rFonts w:hint="eastAsia"/>
              <w:szCs w:val="21"/>
            </w:rPr>
            <w:t>1—6</w:t>
          </w:r>
          <w:r>
            <w:rPr>
              <w:szCs w:val="21"/>
            </w:rPr>
            <w:t>月</w:t>
          </w:r>
        </w:p>
        <w:p>
          <w:pPr>
            <w:pStyle w:val="76"/>
            <w:snapToGrid w:val="0"/>
            <w:spacing w:line="240" w:lineRule="atLeast"/>
            <w:jc w:val="right"/>
            <w:rPr>
              <w:szCs w:val="21"/>
            </w:rPr>
          </w:pPr>
          <w:r>
            <w:rPr>
              <w:szCs w:val="21"/>
            </w:rPr>
            <w:t>单位:</w:t>
          </w:r>
          <w:sdt>
            <w:sdtPr>
              <w:rPr>
                <w:szCs w:val="21"/>
              </w:rPr>
              <w:alias w:val="单位：母公司股东权益调节表"/>
              <w:tag w:val="_GBC_375aa5b655854a6fa4ef44766a5a9d36"/>
              <w:id w:val="25154191"/>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251541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2"/>
            <w:tblW w:w="1445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276"/>
            <w:gridCol w:w="567"/>
            <w:gridCol w:w="709"/>
            <w:gridCol w:w="567"/>
            <w:gridCol w:w="1134"/>
            <w:gridCol w:w="708"/>
            <w:gridCol w:w="741"/>
            <w:gridCol w:w="1102"/>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59e924c4dc0e4c1fa37ccada588bfcac"/>
                <w:id w:val="25154193"/>
                <w:lock w:val="sdtLocked"/>
              </w:sdtPr>
              <w:sdtEndPr>
                <w:rPr>
                  <w:sz w:val="15"/>
                  <w:szCs w:val="15"/>
                </w:rPr>
              </w:sdtEndPr>
              <w:sdtContent>
                <w:tc>
                  <w:tcPr>
                    <w:tcW w:w="3827" w:type="dxa"/>
                    <w:vMerge w:val="restart"/>
                    <w:vAlign w:val="center"/>
                  </w:tcPr>
                  <w:p>
                    <w:pPr>
                      <w:pStyle w:val="76"/>
                      <w:adjustRightInd w:val="0"/>
                      <w:snapToGrid w:val="0"/>
                      <w:jc w:val="center"/>
                      <w:rPr>
                        <w:sz w:val="15"/>
                        <w:szCs w:val="15"/>
                      </w:rPr>
                    </w:pPr>
                    <w:r>
                      <w:rPr>
                        <w:sz w:val="15"/>
                        <w:szCs w:val="15"/>
                      </w:rPr>
                      <w:t>项目</w:t>
                    </w:r>
                  </w:p>
                </w:tc>
              </w:sdtContent>
            </w:sdt>
            <w:sdt>
              <w:sdtPr>
                <w:rPr>
                  <w:sz w:val="15"/>
                  <w:szCs w:val="15"/>
                </w:rPr>
                <w:tag w:val="_PLD_b4817a767dfc4dfcb9f435007b2d5177"/>
                <w:id w:val="25154194"/>
                <w:lock w:val="sdtLocked"/>
              </w:sdtPr>
              <w:sdtEndPr>
                <w:rPr>
                  <w:sz w:val="15"/>
                  <w:szCs w:val="15"/>
                </w:rPr>
              </w:sdtEndPr>
              <w:sdtContent>
                <w:tc>
                  <w:tcPr>
                    <w:tcW w:w="10631" w:type="dxa"/>
                    <w:gridSpan w:val="11"/>
                  </w:tcPr>
                  <w:p>
                    <w:pPr>
                      <w:pStyle w:val="76"/>
                      <w:adjustRightInd w:val="0"/>
                      <w:snapToGrid w:val="0"/>
                      <w:jc w:val="center"/>
                      <w:rPr>
                        <w:sz w:val="15"/>
                        <w:szCs w:val="15"/>
                      </w:rPr>
                    </w:pPr>
                    <w:r>
                      <w:rPr>
                        <w:rFonts w:hint="eastAsia"/>
                        <w:sz w:val="15"/>
                        <w:szCs w:val="15"/>
                      </w:rPr>
                      <w:t>本期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827" w:type="dxa"/>
                <w:vMerge w:val="continue"/>
              </w:tcPr>
              <w:p>
                <w:pPr>
                  <w:pStyle w:val="76"/>
                  <w:adjustRightInd w:val="0"/>
                  <w:snapToGrid w:val="0"/>
                  <w:rPr>
                    <w:sz w:val="15"/>
                    <w:szCs w:val="15"/>
                  </w:rPr>
                </w:pPr>
              </w:p>
            </w:tc>
            <w:sdt>
              <w:sdtPr>
                <w:rPr>
                  <w:sz w:val="15"/>
                  <w:szCs w:val="15"/>
                </w:rPr>
                <w:tag w:val="_PLD_e7cdb1dc939144f08ae2ae76abf96d91"/>
                <w:id w:val="25154195"/>
                <w:lock w:val="sdtLocked"/>
              </w:sdtPr>
              <w:sdtEndPr>
                <w:rPr>
                  <w:sz w:val="15"/>
                  <w:szCs w:val="15"/>
                </w:rPr>
              </w:sdtEndPr>
              <w:sdtContent>
                <w:tc>
                  <w:tcPr>
                    <w:tcW w:w="1276" w:type="dxa"/>
                    <w:vMerge w:val="restart"/>
                    <w:tcBorders>
                      <w:right w:val="single" w:color="auto" w:sz="4" w:space="0"/>
                    </w:tcBorders>
                    <w:vAlign w:val="center"/>
                  </w:tcPr>
                  <w:p>
                    <w:pPr>
                      <w:pStyle w:val="76"/>
                      <w:adjustRightInd w:val="0"/>
                      <w:snapToGrid w:val="0"/>
                      <w:jc w:val="center"/>
                      <w:rPr>
                        <w:sz w:val="15"/>
                        <w:szCs w:val="15"/>
                      </w:rPr>
                    </w:pPr>
                    <w:r>
                      <w:rPr>
                        <w:rFonts w:hint="eastAsia"/>
                        <w:sz w:val="15"/>
                        <w:szCs w:val="15"/>
                      </w:rPr>
                      <w:t>股本</w:t>
                    </w:r>
                  </w:p>
                </w:tc>
              </w:sdtContent>
            </w:sdt>
            <w:sdt>
              <w:sdtPr>
                <w:rPr>
                  <w:sz w:val="15"/>
                  <w:szCs w:val="15"/>
                </w:rPr>
                <w:tag w:val="_PLD_55b938641302458b8e333f2b04a38c7c"/>
                <w:id w:val="25154196"/>
                <w:lock w:val="sdtLocked"/>
              </w:sdtPr>
              <w:sdtEndPr>
                <w:rPr>
                  <w:sz w:val="15"/>
                  <w:szCs w:val="15"/>
                </w:rPr>
              </w:sdtEndPr>
              <w:sdtContent>
                <w:tc>
                  <w:tcPr>
                    <w:tcW w:w="1843" w:type="dxa"/>
                    <w:gridSpan w:val="3"/>
                    <w:tcBorders>
                      <w:left w:val="single" w:color="auto" w:sz="4" w:space="0"/>
                      <w:bottom w:val="single" w:color="auto" w:sz="4" w:space="0"/>
                    </w:tcBorders>
                    <w:vAlign w:val="center"/>
                  </w:tcPr>
                  <w:p>
                    <w:pPr>
                      <w:pStyle w:val="76"/>
                      <w:adjustRightInd w:val="0"/>
                      <w:snapToGrid w:val="0"/>
                      <w:jc w:val="center"/>
                      <w:rPr>
                        <w:sz w:val="15"/>
                        <w:szCs w:val="15"/>
                      </w:rPr>
                    </w:pPr>
                    <w:r>
                      <w:rPr>
                        <w:rFonts w:hint="eastAsia"/>
                        <w:sz w:val="15"/>
                        <w:szCs w:val="15"/>
                      </w:rPr>
                      <w:t>其他权益工具</w:t>
                    </w:r>
                  </w:p>
                </w:tc>
              </w:sdtContent>
            </w:sdt>
            <w:sdt>
              <w:sdtPr>
                <w:rPr>
                  <w:sz w:val="15"/>
                  <w:szCs w:val="15"/>
                </w:rPr>
                <w:tag w:val="_PLD_0522c9206d2d4e369ce219e9ab6889a6"/>
                <w:id w:val="25154197"/>
                <w:lock w:val="sdtLocked"/>
              </w:sdtPr>
              <w:sdtEndPr>
                <w:rPr>
                  <w:sz w:val="15"/>
                  <w:szCs w:val="15"/>
                </w:rPr>
              </w:sdtEndPr>
              <w:sdtContent>
                <w:tc>
                  <w:tcPr>
                    <w:tcW w:w="1134" w:type="dxa"/>
                    <w:vMerge w:val="restart"/>
                    <w:vAlign w:val="center"/>
                  </w:tcPr>
                  <w:p>
                    <w:pPr>
                      <w:pStyle w:val="76"/>
                      <w:adjustRightInd w:val="0"/>
                      <w:snapToGrid w:val="0"/>
                      <w:jc w:val="center"/>
                      <w:rPr>
                        <w:sz w:val="15"/>
                        <w:szCs w:val="15"/>
                      </w:rPr>
                    </w:pPr>
                    <w:r>
                      <w:rPr>
                        <w:sz w:val="15"/>
                        <w:szCs w:val="15"/>
                      </w:rPr>
                      <w:t>资本公积</w:t>
                    </w:r>
                  </w:p>
                </w:tc>
              </w:sdtContent>
            </w:sdt>
            <w:sdt>
              <w:sdtPr>
                <w:rPr>
                  <w:sz w:val="15"/>
                  <w:szCs w:val="15"/>
                </w:rPr>
                <w:tag w:val="_PLD_2c5fb47b21b84fa18c8c9734c03c90bc"/>
                <w:id w:val="25154198"/>
                <w:lock w:val="sdtLocked"/>
              </w:sdtPr>
              <w:sdtEndPr>
                <w:rPr>
                  <w:sz w:val="15"/>
                  <w:szCs w:val="15"/>
                </w:rPr>
              </w:sdtEndPr>
              <w:sdtContent>
                <w:tc>
                  <w:tcPr>
                    <w:tcW w:w="708" w:type="dxa"/>
                    <w:vMerge w:val="restart"/>
                    <w:vAlign w:val="center"/>
                  </w:tcPr>
                  <w:p>
                    <w:pPr>
                      <w:pStyle w:val="76"/>
                      <w:adjustRightInd w:val="0"/>
                      <w:snapToGrid w:val="0"/>
                      <w:jc w:val="center"/>
                      <w:rPr>
                        <w:sz w:val="15"/>
                        <w:szCs w:val="15"/>
                      </w:rPr>
                    </w:pPr>
                    <w:r>
                      <w:rPr>
                        <w:sz w:val="15"/>
                        <w:szCs w:val="15"/>
                      </w:rPr>
                      <w:t>减：库存股</w:t>
                    </w:r>
                  </w:p>
                </w:tc>
              </w:sdtContent>
            </w:sdt>
            <w:sdt>
              <w:sdtPr>
                <w:rPr>
                  <w:sz w:val="15"/>
                  <w:szCs w:val="15"/>
                </w:rPr>
                <w:tag w:val="_PLD_4475bd1783464572a765c40f676f0a57"/>
                <w:id w:val="25154199"/>
                <w:lock w:val="sdtLocked"/>
              </w:sdtPr>
              <w:sdtEndPr>
                <w:rPr>
                  <w:sz w:val="15"/>
                  <w:szCs w:val="15"/>
                </w:rPr>
              </w:sdtEndPr>
              <w:sdtContent>
                <w:tc>
                  <w:tcPr>
                    <w:tcW w:w="741" w:type="dxa"/>
                    <w:vMerge w:val="restart"/>
                    <w:vAlign w:val="center"/>
                  </w:tcPr>
                  <w:p>
                    <w:pPr>
                      <w:pStyle w:val="76"/>
                      <w:jc w:val="center"/>
                      <w:rPr>
                        <w:sz w:val="15"/>
                        <w:szCs w:val="15"/>
                      </w:rPr>
                    </w:pPr>
                    <w:r>
                      <w:rPr>
                        <w:rFonts w:hint="eastAsia"/>
                        <w:sz w:val="15"/>
                        <w:szCs w:val="15"/>
                      </w:rPr>
                      <w:t>其他综合收益</w:t>
                    </w:r>
                  </w:p>
                </w:tc>
              </w:sdtContent>
            </w:sdt>
            <w:sdt>
              <w:sdtPr>
                <w:rPr>
                  <w:sz w:val="15"/>
                  <w:szCs w:val="15"/>
                </w:rPr>
                <w:tag w:val="_PLD_369f565713f64512a7b738a35b6c2405"/>
                <w:id w:val="25154200"/>
                <w:lock w:val="sdtLocked"/>
              </w:sdtPr>
              <w:sdtEndPr>
                <w:rPr>
                  <w:sz w:val="15"/>
                  <w:szCs w:val="15"/>
                </w:rPr>
              </w:sdtEndPr>
              <w:sdtContent>
                <w:tc>
                  <w:tcPr>
                    <w:tcW w:w="1102" w:type="dxa"/>
                    <w:vMerge w:val="restart"/>
                    <w:vAlign w:val="center"/>
                  </w:tcPr>
                  <w:p>
                    <w:pPr>
                      <w:pStyle w:val="76"/>
                      <w:adjustRightInd w:val="0"/>
                      <w:snapToGrid w:val="0"/>
                      <w:jc w:val="center"/>
                      <w:rPr>
                        <w:sz w:val="15"/>
                        <w:szCs w:val="15"/>
                      </w:rPr>
                    </w:pPr>
                    <w:r>
                      <w:rPr>
                        <w:rFonts w:hint="eastAsia"/>
                        <w:sz w:val="15"/>
                        <w:szCs w:val="15"/>
                      </w:rPr>
                      <w:t>专项储备</w:t>
                    </w:r>
                  </w:p>
                </w:tc>
              </w:sdtContent>
            </w:sdt>
            <w:sdt>
              <w:sdtPr>
                <w:rPr>
                  <w:sz w:val="15"/>
                  <w:szCs w:val="15"/>
                </w:rPr>
                <w:tag w:val="_PLD_4a992f4de33b4172a10228a9aa2e502a"/>
                <w:id w:val="25154201"/>
                <w:lock w:val="sdtLocked"/>
              </w:sdtPr>
              <w:sdtEndPr>
                <w:rPr>
                  <w:sz w:val="15"/>
                  <w:szCs w:val="15"/>
                </w:rPr>
              </w:sdtEndPr>
              <w:sdtContent>
                <w:tc>
                  <w:tcPr>
                    <w:tcW w:w="1276" w:type="dxa"/>
                    <w:vMerge w:val="restart"/>
                    <w:vAlign w:val="center"/>
                  </w:tcPr>
                  <w:p>
                    <w:pPr>
                      <w:pStyle w:val="76"/>
                      <w:adjustRightInd w:val="0"/>
                      <w:snapToGrid w:val="0"/>
                      <w:jc w:val="center"/>
                      <w:rPr>
                        <w:sz w:val="15"/>
                        <w:szCs w:val="15"/>
                      </w:rPr>
                    </w:pPr>
                    <w:r>
                      <w:rPr>
                        <w:sz w:val="15"/>
                        <w:szCs w:val="15"/>
                      </w:rPr>
                      <w:t>盈余公积</w:t>
                    </w:r>
                  </w:p>
                </w:tc>
              </w:sdtContent>
            </w:sdt>
            <w:sdt>
              <w:sdtPr>
                <w:rPr>
                  <w:sz w:val="15"/>
                  <w:szCs w:val="15"/>
                </w:rPr>
                <w:tag w:val="_PLD_ca8f3fbd1b064d2d9387377a67dd6322"/>
                <w:id w:val="25154202"/>
                <w:lock w:val="sdtLocked"/>
              </w:sdtPr>
              <w:sdtEndPr>
                <w:rPr>
                  <w:sz w:val="15"/>
                  <w:szCs w:val="15"/>
                </w:rPr>
              </w:sdtEndPr>
              <w:sdtContent>
                <w:tc>
                  <w:tcPr>
                    <w:tcW w:w="1276" w:type="dxa"/>
                    <w:vMerge w:val="restart"/>
                    <w:vAlign w:val="center"/>
                  </w:tcPr>
                  <w:p>
                    <w:pPr>
                      <w:pStyle w:val="76"/>
                      <w:adjustRightInd w:val="0"/>
                      <w:snapToGrid w:val="0"/>
                      <w:jc w:val="center"/>
                      <w:rPr>
                        <w:sz w:val="15"/>
                        <w:szCs w:val="15"/>
                      </w:rPr>
                    </w:pPr>
                    <w:r>
                      <w:rPr>
                        <w:sz w:val="15"/>
                        <w:szCs w:val="15"/>
                      </w:rPr>
                      <w:t>未分配利润</w:t>
                    </w:r>
                  </w:p>
                </w:tc>
              </w:sdtContent>
            </w:sdt>
            <w:sdt>
              <w:sdtPr>
                <w:rPr>
                  <w:sz w:val="15"/>
                  <w:szCs w:val="15"/>
                </w:rPr>
                <w:tag w:val="_PLD_f0797bebb8bf4356a915c0ffec691504"/>
                <w:id w:val="25154203"/>
                <w:lock w:val="sdtLocked"/>
              </w:sdtPr>
              <w:sdtEndPr>
                <w:rPr>
                  <w:sz w:val="15"/>
                  <w:szCs w:val="15"/>
                </w:rPr>
              </w:sdtEndPr>
              <w:sdtContent>
                <w:tc>
                  <w:tcPr>
                    <w:tcW w:w="1275" w:type="dxa"/>
                    <w:vMerge w:val="restart"/>
                    <w:vAlign w:val="center"/>
                  </w:tcPr>
                  <w:p>
                    <w:pPr>
                      <w:pStyle w:val="76"/>
                      <w:adjustRightInd w:val="0"/>
                      <w:snapToGrid w:val="0"/>
                      <w:jc w:val="center"/>
                      <w:rPr>
                        <w:sz w:val="15"/>
                        <w:szCs w:val="15"/>
                      </w:rPr>
                    </w:pPr>
                    <w:r>
                      <w:rPr>
                        <w:sz w:val="15"/>
                        <w:szCs w:val="15"/>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827" w:type="dxa"/>
                <w:vMerge w:val="continue"/>
              </w:tcPr>
              <w:p>
                <w:pPr>
                  <w:pStyle w:val="76"/>
                  <w:adjustRightInd w:val="0"/>
                  <w:snapToGrid w:val="0"/>
                  <w:rPr>
                    <w:sz w:val="15"/>
                    <w:szCs w:val="15"/>
                  </w:rPr>
                </w:pPr>
              </w:p>
            </w:tc>
            <w:tc>
              <w:tcPr>
                <w:tcW w:w="1276" w:type="dxa"/>
                <w:vMerge w:val="continue"/>
                <w:tcBorders>
                  <w:right w:val="single" w:color="auto" w:sz="4" w:space="0"/>
                </w:tcBorders>
              </w:tcPr>
              <w:p>
                <w:pPr>
                  <w:pStyle w:val="76"/>
                  <w:adjustRightInd w:val="0"/>
                  <w:snapToGrid w:val="0"/>
                  <w:jc w:val="center"/>
                  <w:rPr>
                    <w:sz w:val="15"/>
                    <w:szCs w:val="15"/>
                  </w:rPr>
                </w:pPr>
              </w:p>
            </w:tc>
            <w:sdt>
              <w:sdtPr>
                <w:rPr>
                  <w:sz w:val="15"/>
                  <w:szCs w:val="15"/>
                </w:rPr>
                <w:tag w:val="_PLD_80ae1a2da0034b019f2b02a3f702a786"/>
                <w:id w:val="25154204"/>
                <w:lock w:val="sdtLocked"/>
              </w:sdtPr>
              <w:sdtEndPr>
                <w:rPr>
                  <w:sz w:val="15"/>
                  <w:szCs w:val="15"/>
                </w:rPr>
              </w:sdtEndPr>
              <w:sdtContent>
                <w:tc>
                  <w:tcPr>
                    <w:tcW w:w="567" w:type="dxa"/>
                    <w:tcBorders>
                      <w:top w:val="single" w:color="auto" w:sz="4" w:space="0"/>
                      <w:left w:val="single" w:color="auto" w:sz="4" w:space="0"/>
                      <w:right w:val="single" w:color="auto" w:sz="4" w:space="0"/>
                    </w:tcBorders>
                    <w:vAlign w:val="center"/>
                  </w:tcPr>
                  <w:p>
                    <w:pPr>
                      <w:pStyle w:val="76"/>
                      <w:adjustRightInd w:val="0"/>
                      <w:snapToGrid w:val="0"/>
                      <w:jc w:val="center"/>
                      <w:rPr>
                        <w:sz w:val="15"/>
                        <w:szCs w:val="15"/>
                      </w:rPr>
                    </w:pPr>
                    <w:r>
                      <w:rPr>
                        <w:rFonts w:hint="eastAsia"/>
                        <w:sz w:val="15"/>
                        <w:szCs w:val="15"/>
                      </w:rPr>
                      <w:t>优先股</w:t>
                    </w:r>
                  </w:p>
                </w:tc>
              </w:sdtContent>
            </w:sdt>
            <w:sdt>
              <w:sdtPr>
                <w:rPr>
                  <w:sz w:val="15"/>
                  <w:szCs w:val="15"/>
                </w:rPr>
                <w:tag w:val="_PLD_cf68debdbd094c0f96c42e97519870fa"/>
                <w:id w:val="25154205"/>
                <w:lock w:val="sdtLocked"/>
              </w:sdtPr>
              <w:sdtEndPr>
                <w:rPr>
                  <w:sz w:val="15"/>
                  <w:szCs w:val="15"/>
                </w:rPr>
              </w:sdtEndPr>
              <w:sdtContent>
                <w:tc>
                  <w:tcPr>
                    <w:tcW w:w="709" w:type="dxa"/>
                    <w:tcBorders>
                      <w:top w:val="single" w:color="auto" w:sz="4" w:space="0"/>
                      <w:left w:val="single" w:color="auto" w:sz="4" w:space="0"/>
                      <w:right w:val="single" w:color="auto" w:sz="4" w:space="0"/>
                    </w:tcBorders>
                    <w:vAlign w:val="center"/>
                  </w:tcPr>
                  <w:p>
                    <w:pPr>
                      <w:pStyle w:val="76"/>
                      <w:adjustRightInd w:val="0"/>
                      <w:snapToGrid w:val="0"/>
                      <w:jc w:val="center"/>
                      <w:rPr>
                        <w:sz w:val="15"/>
                        <w:szCs w:val="15"/>
                      </w:rPr>
                    </w:pPr>
                    <w:r>
                      <w:rPr>
                        <w:rFonts w:hint="eastAsia"/>
                        <w:sz w:val="15"/>
                        <w:szCs w:val="15"/>
                      </w:rPr>
                      <w:t>永续债</w:t>
                    </w:r>
                  </w:p>
                </w:tc>
              </w:sdtContent>
            </w:sdt>
            <w:sdt>
              <w:sdtPr>
                <w:rPr>
                  <w:sz w:val="15"/>
                  <w:szCs w:val="15"/>
                </w:rPr>
                <w:tag w:val="_PLD_88268d9f35a543368a15fb31455eb652"/>
                <w:id w:val="25154206"/>
                <w:lock w:val="sdtLocked"/>
              </w:sdtPr>
              <w:sdtEndPr>
                <w:rPr>
                  <w:sz w:val="15"/>
                  <w:szCs w:val="15"/>
                </w:rPr>
              </w:sdtEndPr>
              <w:sdtContent>
                <w:tc>
                  <w:tcPr>
                    <w:tcW w:w="567" w:type="dxa"/>
                    <w:tcBorders>
                      <w:top w:val="single" w:color="auto" w:sz="4" w:space="0"/>
                      <w:left w:val="single" w:color="auto" w:sz="4" w:space="0"/>
                    </w:tcBorders>
                    <w:vAlign w:val="center"/>
                  </w:tcPr>
                  <w:p>
                    <w:pPr>
                      <w:pStyle w:val="76"/>
                      <w:adjustRightInd w:val="0"/>
                      <w:snapToGrid w:val="0"/>
                      <w:jc w:val="center"/>
                      <w:rPr>
                        <w:sz w:val="15"/>
                        <w:szCs w:val="15"/>
                      </w:rPr>
                    </w:pPr>
                    <w:r>
                      <w:rPr>
                        <w:rFonts w:hint="eastAsia"/>
                        <w:sz w:val="15"/>
                        <w:szCs w:val="15"/>
                      </w:rPr>
                      <w:t>其他</w:t>
                    </w:r>
                  </w:p>
                </w:tc>
              </w:sdtContent>
            </w:sdt>
            <w:tc>
              <w:tcPr>
                <w:tcW w:w="1134" w:type="dxa"/>
                <w:vMerge w:val="continue"/>
              </w:tcPr>
              <w:p>
                <w:pPr>
                  <w:pStyle w:val="76"/>
                  <w:adjustRightInd w:val="0"/>
                  <w:snapToGrid w:val="0"/>
                  <w:jc w:val="center"/>
                  <w:rPr>
                    <w:sz w:val="15"/>
                    <w:szCs w:val="15"/>
                  </w:rPr>
                </w:pPr>
              </w:p>
            </w:tc>
            <w:tc>
              <w:tcPr>
                <w:tcW w:w="708" w:type="dxa"/>
                <w:vMerge w:val="continue"/>
              </w:tcPr>
              <w:p>
                <w:pPr>
                  <w:pStyle w:val="76"/>
                  <w:adjustRightInd w:val="0"/>
                  <w:snapToGrid w:val="0"/>
                  <w:jc w:val="center"/>
                  <w:rPr>
                    <w:sz w:val="15"/>
                    <w:szCs w:val="15"/>
                  </w:rPr>
                </w:pPr>
              </w:p>
            </w:tc>
            <w:tc>
              <w:tcPr>
                <w:tcW w:w="741" w:type="dxa"/>
                <w:vMerge w:val="continue"/>
              </w:tcPr>
              <w:p>
                <w:pPr>
                  <w:pStyle w:val="76"/>
                  <w:jc w:val="center"/>
                  <w:rPr>
                    <w:sz w:val="15"/>
                    <w:szCs w:val="15"/>
                  </w:rPr>
                </w:pPr>
              </w:p>
            </w:tc>
            <w:tc>
              <w:tcPr>
                <w:tcW w:w="1102" w:type="dxa"/>
                <w:vMerge w:val="continue"/>
              </w:tcPr>
              <w:p>
                <w:pPr>
                  <w:pStyle w:val="76"/>
                  <w:adjustRightInd w:val="0"/>
                  <w:snapToGrid w:val="0"/>
                  <w:jc w:val="center"/>
                  <w:rPr>
                    <w:sz w:val="15"/>
                    <w:szCs w:val="15"/>
                  </w:rPr>
                </w:pPr>
              </w:p>
            </w:tc>
            <w:tc>
              <w:tcPr>
                <w:tcW w:w="1276" w:type="dxa"/>
                <w:vMerge w:val="continue"/>
              </w:tcPr>
              <w:p>
                <w:pPr>
                  <w:pStyle w:val="76"/>
                  <w:adjustRightInd w:val="0"/>
                  <w:snapToGrid w:val="0"/>
                  <w:jc w:val="center"/>
                  <w:rPr>
                    <w:sz w:val="15"/>
                    <w:szCs w:val="15"/>
                  </w:rPr>
                </w:pPr>
              </w:p>
            </w:tc>
            <w:tc>
              <w:tcPr>
                <w:tcW w:w="1276" w:type="dxa"/>
                <w:vMerge w:val="continue"/>
              </w:tcPr>
              <w:p>
                <w:pPr>
                  <w:pStyle w:val="76"/>
                  <w:adjustRightInd w:val="0"/>
                  <w:snapToGrid w:val="0"/>
                  <w:jc w:val="center"/>
                  <w:rPr>
                    <w:sz w:val="15"/>
                    <w:szCs w:val="15"/>
                  </w:rPr>
                </w:pPr>
              </w:p>
            </w:tc>
            <w:tc>
              <w:tcPr>
                <w:tcW w:w="1275" w:type="dxa"/>
                <w:vMerge w:val="continue"/>
              </w:tcPr>
              <w:p>
                <w:pPr>
                  <w:pStyle w:val="76"/>
                  <w:adjustRightInd w:val="0"/>
                  <w:snapToGrid w:val="0"/>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7e59192331d049178c20af46524eea80"/>
                <w:id w:val="25154207"/>
                <w:lock w:val="sdtLocked"/>
              </w:sdtPr>
              <w:sdtEndPr>
                <w:rPr>
                  <w:sz w:val="15"/>
                  <w:szCs w:val="15"/>
                </w:rPr>
              </w:sdtEndPr>
              <w:sdtContent>
                <w:tc>
                  <w:tcPr>
                    <w:tcW w:w="3827" w:type="dxa"/>
                  </w:tcPr>
                  <w:p>
                    <w:pPr>
                      <w:pStyle w:val="76"/>
                      <w:rPr>
                        <w:sz w:val="15"/>
                        <w:szCs w:val="15"/>
                      </w:rPr>
                    </w:pPr>
                    <w:r>
                      <w:rPr>
                        <w:sz w:val="15"/>
                        <w:szCs w:val="15"/>
                      </w:rPr>
                      <w:t>一、上年</w:t>
                    </w:r>
                    <w:r>
                      <w:rPr>
                        <w:rFonts w:hint="eastAsia"/>
                        <w:sz w:val="15"/>
                        <w:szCs w:val="15"/>
                      </w:rPr>
                      <w:t>期</w:t>
                    </w:r>
                    <w:r>
                      <w:rPr>
                        <w:sz w:val="15"/>
                        <w:szCs w:val="15"/>
                      </w:rPr>
                      <w:t>末余额</w:t>
                    </w:r>
                  </w:p>
                </w:tc>
              </w:sdtContent>
            </w:sdt>
            <w:tc>
              <w:tcPr>
                <w:tcW w:w="1276" w:type="dxa"/>
                <w:tcBorders>
                  <w:right w:val="single" w:color="auto" w:sz="4" w:space="0"/>
                </w:tcBorders>
                <w:vAlign w:val="center"/>
              </w:tcPr>
              <w:p>
                <w:pPr>
                  <w:pStyle w:val="76"/>
                  <w:jc w:val="right"/>
                  <w:rPr>
                    <w:rFonts w:ascii="Arial Narrow" w:hAnsi="Arial Narrow"/>
                    <w:sz w:val="15"/>
                    <w:szCs w:val="15"/>
                  </w:rPr>
                </w:pPr>
                <w:r>
                  <w:rPr>
                    <w:rFonts w:ascii="Arial Narrow" w:hAnsi="Arial Narrow"/>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1134" w:type="dxa"/>
                <w:tcBorders>
                  <w:left w:val="single" w:color="auto" w:sz="4" w:space="0"/>
                </w:tcBorders>
                <w:vAlign w:val="center"/>
              </w:tcPr>
              <w:p>
                <w:pPr>
                  <w:pStyle w:val="76"/>
                  <w:jc w:val="right"/>
                  <w:rPr>
                    <w:rFonts w:ascii="Arial Narrow" w:hAnsi="Arial Narrow"/>
                    <w:sz w:val="15"/>
                    <w:szCs w:val="15"/>
                  </w:rPr>
                </w:pPr>
                <w:r>
                  <w:rPr>
                    <w:rFonts w:ascii="Arial Narrow" w:hAnsi="Arial Narrow"/>
                    <w:sz w:val="15"/>
                    <w:szCs w:val="15"/>
                  </w:rPr>
                  <w:t>208,436,169.08</w:t>
                </w: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1,103,989.99</w:t>
                </w:r>
              </w:p>
            </w:tc>
            <w:tc>
              <w:tcPr>
                <w:tcW w:w="1276" w:type="dxa"/>
                <w:vAlign w:val="center"/>
              </w:tcPr>
              <w:p>
                <w:pPr>
                  <w:pStyle w:val="76"/>
                  <w:jc w:val="right"/>
                  <w:rPr>
                    <w:rFonts w:ascii="Arial Narrow" w:hAnsi="Arial Narrow"/>
                    <w:sz w:val="15"/>
                    <w:szCs w:val="15"/>
                  </w:rPr>
                </w:pPr>
                <w:r>
                  <w:rPr>
                    <w:rFonts w:ascii="Arial Narrow" w:hAnsi="Arial Narrow"/>
                    <w:sz w:val="15"/>
                    <w:szCs w:val="15"/>
                  </w:rPr>
                  <w:t>1,237,059,322.55</w:t>
                </w:r>
              </w:p>
            </w:tc>
            <w:tc>
              <w:tcPr>
                <w:tcW w:w="1276" w:type="dxa"/>
                <w:vAlign w:val="center"/>
              </w:tcPr>
              <w:p>
                <w:pPr>
                  <w:pStyle w:val="76"/>
                  <w:jc w:val="right"/>
                  <w:rPr>
                    <w:rFonts w:ascii="Arial Narrow" w:hAnsi="Arial Narrow"/>
                    <w:sz w:val="15"/>
                    <w:szCs w:val="15"/>
                  </w:rPr>
                </w:pPr>
                <w:r>
                  <w:rPr>
                    <w:rFonts w:ascii="Arial Narrow" w:hAnsi="Arial Narrow"/>
                    <w:sz w:val="15"/>
                    <w:szCs w:val="15"/>
                  </w:rPr>
                  <w:t>3,189,805,250.52</w:t>
                </w:r>
              </w:p>
            </w:tc>
            <w:tc>
              <w:tcPr>
                <w:tcW w:w="1275" w:type="dxa"/>
                <w:vAlign w:val="center"/>
              </w:tcPr>
              <w:p>
                <w:pPr>
                  <w:pStyle w:val="76"/>
                  <w:jc w:val="right"/>
                  <w:rPr>
                    <w:rFonts w:ascii="Arial Narrow" w:hAnsi="Arial Narrow"/>
                    <w:sz w:val="15"/>
                    <w:szCs w:val="15"/>
                  </w:rPr>
                </w:pPr>
                <w:r>
                  <w:rPr>
                    <w:rFonts w:ascii="Arial Narrow" w:hAnsi="Arial Narrow"/>
                    <w:sz w:val="15"/>
                    <w:szCs w:val="15"/>
                  </w:rP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6c4f1e55d5a54f57883d504c2a39debe"/>
                <w:id w:val="25154208"/>
                <w:lock w:val="sdtLocked"/>
              </w:sdtPr>
              <w:sdtEndPr>
                <w:rPr>
                  <w:sz w:val="15"/>
                  <w:szCs w:val="15"/>
                </w:rPr>
              </w:sdtEndPr>
              <w:sdtContent>
                <w:tc>
                  <w:tcPr>
                    <w:tcW w:w="3827" w:type="dxa"/>
                  </w:tcPr>
                  <w:p>
                    <w:pPr>
                      <w:pStyle w:val="76"/>
                      <w:rPr>
                        <w:sz w:val="15"/>
                        <w:szCs w:val="15"/>
                      </w:rPr>
                    </w:pPr>
                    <w:r>
                      <w:rPr>
                        <w:sz w:val="15"/>
                        <w:szCs w:val="15"/>
                      </w:rPr>
                      <w:t>加：会计政策变更</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1134" w:type="dxa"/>
                <w:tcBorders>
                  <w:left w:val="single" w:color="auto" w:sz="4" w:space="0"/>
                </w:tcBorders>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7c0401e766a14c86a32c277ff2ca2498"/>
                <w:id w:val="25154209"/>
                <w:lock w:val="sdtLocked"/>
              </w:sdtPr>
              <w:sdtEndPr>
                <w:rPr>
                  <w:sz w:val="15"/>
                  <w:szCs w:val="15"/>
                </w:rPr>
              </w:sdtEndPr>
              <w:sdtContent>
                <w:tc>
                  <w:tcPr>
                    <w:tcW w:w="3827" w:type="dxa"/>
                  </w:tcPr>
                  <w:p>
                    <w:pPr>
                      <w:pStyle w:val="76"/>
                      <w:ind w:firstLine="300" w:firstLineChars="200"/>
                      <w:rPr>
                        <w:sz w:val="15"/>
                        <w:szCs w:val="15"/>
                      </w:rPr>
                    </w:pPr>
                    <w:r>
                      <w:rPr>
                        <w:sz w:val="15"/>
                        <w:szCs w:val="15"/>
                      </w:rPr>
                      <w:t>前期差错更正</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1134" w:type="dxa"/>
                <w:tcBorders>
                  <w:left w:val="single" w:color="auto" w:sz="4" w:space="0"/>
                </w:tcBorders>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3e81361ddc0c4dafb86f2d1d4c86b90b"/>
                <w:id w:val="25154210"/>
                <w:lock w:val="sdtLocked"/>
              </w:sdtPr>
              <w:sdtEndPr>
                <w:rPr>
                  <w:sz w:val="15"/>
                  <w:szCs w:val="15"/>
                </w:rPr>
              </w:sdtEndPr>
              <w:sdtContent>
                <w:tc>
                  <w:tcPr>
                    <w:tcW w:w="3827" w:type="dxa"/>
                  </w:tcPr>
                  <w:p>
                    <w:pPr>
                      <w:pStyle w:val="76"/>
                      <w:ind w:firstLine="300" w:firstLineChars="200"/>
                      <w:rPr>
                        <w:sz w:val="15"/>
                        <w:szCs w:val="15"/>
                      </w:rPr>
                    </w:pPr>
                    <w:r>
                      <w:rPr>
                        <w:rFonts w:hint="eastAsia"/>
                        <w:sz w:val="15"/>
                        <w:szCs w:val="15"/>
                      </w:rPr>
                      <w:t>其他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1134" w:type="dxa"/>
                <w:tcBorders>
                  <w:left w:val="single" w:color="auto" w:sz="4" w:space="0"/>
                </w:tcBorders>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249d78e303394877a1b8a782e0e746e7"/>
                <w:id w:val="25154211"/>
                <w:lock w:val="sdtLocked"/>
              </w:sdtPr>
              <w:sdtEndPr>
                <w:rPr>
                  <w:sz w:val="15"/>
                  <w:szCs w:val="15"/>
                </w:rPr>
              </w:sdtEndPr>
              <w:sdtContent>
                <w:tc>
                  <w:tcPr>
                    <w:tcW w:w="3827" w:type="dxa"/>
                  </w:tcPr>
                  <w:p>
                    <w:pPr>
                      <w:pStyle w:val="76"/>
                      <w:rPr>
                        <w:sz w:val="15"/>
                        <w:szCs w:val="15"/>
                      </w:rPr>
                    </w:pPr>
                    <w:r>
                      <w:rPr>
                        <w:sz w:val="15"/>
                        <w:szCs w:val="15"/>
                      </w:rPr>
                      <w:t>二、本年</w:t>
                    </w:r>
                    <w:r>
                      <w:rPr>
                        <w:rFonts w:hint="eastAsia"/>
                        <w:sz w:val="15"/>
                        <w:szCs w:val="15"/>
                      </w:rPr>
                      <w:t>期</w:t>
                    </w:r>
                    <w:r>
                      <w:rPr>
                        <w:sz w:val="15"/>
                        <w:szCs w:val="15"/>
                      </w:rPr>
                      <w:t>初余额</w:t>
                    </w:r>
                  </w:p>
                </w:tc>
              </w:sdtContent>
            </w:sdt>
            <w:tc>
              <w:tcPr>
                <w:tcW w:w="1276" w:type="dxa"/>
                <w:tcBorders>
                  <w:right w:val="single" w:color="auto" w:sz="4" w:space="0"/>
                </w:tcBorders>
                <w:vAlign w:val="center"/>
              </w:tcPr>
              <w:p>
                <w:pPr>
                  <w:pStyle w:val="76"/>
                  <w:jc w:val="right"/>
                  <w:rPr>
                    <w:rFonts w:ascii="Arial Narrow" w:hAnsi="Arial Narrow"/>
                    <w:sz w:val="15"/>
                    <w:szCs w:val="15"/>
                  </w:rPr>
                </w:pPr>
                <w:r>
                  <w:rPr>
                    <w:rFonts w:ascii="Arial Narrow" w:hAnsi="Arial Narrow"/>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1134" w:type="dxa"/>
                <w:tcBorders>
                  <w:left w:val="single" w:color="auto" w:sz="4" w:space="0"/>
                </w:tcBorders>
                <w:vAlign w:val="center"/>
              </w:tcPr>
              <w:p>
                <w:pPr>
                  <w:pStyle w:val="76"/>
                  <w:jc w:val="right"/>
                  <w:rPr>
                    <w:rFonts w:ascii="Arial Narrow" w:hAnsi="Arial Narrow"/>
                    <w:sz w:val="15"/>
                    <w:szCs w:val="15"/>
                  </w:rPr>
                </w:pPr>
                <w:r>
                  <w:rPr>
                    <w:rFonts w:ascii="Arial Narrow" w:hAnsi="Arial Narrow"/>
                    <w:sz w:val="15"/>
                    <w:szCs w:val="15"/>
                  </w:rPr>
                  <w:t>208,436,169.08</w:t>
                </w: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1,103,989.99</w:t>
                </w:r>
              </w:p>
            </w:tc>
            <w:tc>
              <w:tcPr>
                <w:tcW w:w="1276" w:type="dxa"/>
                <w:vAlign w:val="center"/>
              </w:tcPr>
              <w:p>
                <w:pPr>
                  <w:pStyle w:val="76"/>
                  <w:jc w:val="right"/>
                  <w:rPr>
                    <w:rFonts w:ascii="Arial Narrow" w:hAnsi="Arial Narrow"/>
                    <w:sz w:val="15"/>
                    <w:szCs w:val="15"/>
                  </w:rPr>
                </w:pPr>
                <w:r>
                  <w:rPr>
                    <w:rFonts w:ascii="Arial Narrow" w:hAnsi="Arial Narrow"/>
                    <w:sz w:val="15"/>
                    <w:szCs w:val="15"/>
                  </w:rPr>
                  <w:t>1,237,059,322.55</w:t>
                </w:r>
              </w:p>
            </w:tc>
            <w:tc>
              <w:tcPr>
                <w:tcW w:w="1276" w:type="dxa"/>
                <w:vAlign w:val="center"/>
              </w:tcPr>
              <w:p>
                <w:pPr>
                  <w:pStyle w:val="76"/>
                  <w:jc w:val="right"/>
                  <w:rPr>
                    <w:rFonts w:ascii="Arial Narrow" w:hAnsi="Arial Narrow"/>
                    <w:sz w:val="15"/>
                    <w:szCs w:val="15"/>
                  </w:rPr>
                </w:pPr>
                <w:r>
                  <w:rPr>
                    <w:rFonts w:ascii="Arial Narrow" w:hAnsi="Arial Narrow"/>
                    <w:sz w:val="15"/>
                    <w:szCs w:val="15"/>
                  </w:rPr>
                  <w:t>3,189,805,250.52</w:t>
                </w:r>
              </w:p>
            </w:tc>
            <w:tc>
              <w:tcPr>
                <w:tcW w:w="1275" w:type="dxa"/>
                <w:vAlign w:val="center"/>
              </w:tcPr>
              <w:p>
                <w:pPr>
                  <w:pStyle w:val="76"/>
                  <w:jc w:val="right"/>
                  <w:rPr>
                    <w:rFonts w:ascii="Arial Narrow" w:hAnsi="Arial Narrow"/>
                    <w:sz w:val="15"/>
                    <w:szCs w:val="15"/>
                  </w:rPr>
                </w:pPr>
                <w:r>
                  <w:rPr>
                    <w:rFonts w:ascii="Arial Narrow" w:hAnsi="Arial Narrow"/>
                    <w:sz w:val="15"/>
                    <w:szCs w:val="15"/>
                  </w:rP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3295bbcf0e5342bdad55cecf2da2b4fa"/>
                <w:id w:val="25154212"/>
                <w:lock w:val="sdtLocked"/>
              </w:sdtPr>
              <w:sdtEndPr>
                <w:rPr>
                  <w:sz w:val="15"/>
                  <w:szCs w:val="15"/>
                </w:rPr>
              </w:sdtEndPr>
              <w:sdtContent>
                <w:tc>
                  <w:tcPr>
                    <w:tcW w:w="3827" w:type="dxa"/>
                  </w:tcPr>
                  <w:p>
                    <w:pPr>
                      <w:pStyle w:val="76"/>
                      <w:rPr>
                        <w:sz w:val="15"/>
                        <w:szCs w:val="15"/>
                      </w:rPr>
                    </w:pPr>
                    <w:r>
                      <w:rPr>
                        <w:sz w:val="15"/>
                        <w:szCs w:val="15"/>
                      </w:rPr>
                      <w:t>三、本</w:t>
                    </w:r>
                    <w:r>
                      <w:rPr>
                        <w:rFonts w:hint="eastAsia"/>
                        <w:sz w:val="15"/>
                        <w:szCs w:val="15"/>
                      </w:rPr>
                      <w:t>期</w:t>
                    </w:r>
                    <w:r>
                      <w:rPr>
                        <w:sz w:val="15"/>
                        <w:szCs w:val="15"/>
                      </w:rPr>
                      <w:t>增减变动金额（减少以“－”号填列）</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3,254,110.26</w:t>
                </w: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r>
                  <w:rPr>
                    <w:rFonts w:ascii="Arial Narrow" w:hAnsi="Arial Narrow"/>
                    <w:sz w:val="15"/>
                    <w:szCs w:val="15"/>
                  </w:rPr>
                  <w:t>759,176,758.16</w:t>
                </w:r>
              </w:p>
            </w:tc>
            <w:tc>
              <w:tcPr>
                <w:tcW w:w="1275" w:type="dxa"/>
                <w:vAlign w:val="center"/>
              </w:tcPr>
              <w:p>
                <w:pPr>
                  <w:pStyle w:val="76"/>
                  <w:jc w:val="right"/>
                  <w:rPr>
                    <w:rFonts w:ascii="Arial Narrow" w:hAnsi="Arial Narrow"/>
                    <w:sz w:val="15"/>
                    <w:szCs w:val="15"/>
                  </w:rPr>
                </w:pPr>
                <w:r>
                  <w:rPr>
                    <w:rFonts w:ascii="Arial Narrow" w:hAnsi="Arial Narrow"/>
                    <w:sz w:val="15"/>
                    <w:szCs w:val="15"/>
                  </w:rPr>
                  <w:t>762,430,868.42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ac44d151b6f04fd1a44d24f8c7f25c4c"/>
                <w:id w:val="25154213"/>
                <w:lock w:val="sdtLocked"/>
              </w:sdtPr>
              <w:sdtEndPr>
                <w:rPr>
                  <w:sz w:val="15"/>
                  <w:szCs w:val="15"/>
                </w:rPr>
              </w:sdtEndPr>
              <w:sdtContent>
                <w:tc>
                  <w:tcPr>
                    <w:tcW w:w="3827" w:type="dxa"/>
                  </w:tcPr>
                  <w:p>
                    <w:pPr>
                      <w:pStyle w:val="76"/>
                      <w:rPr>
                        <w:sz w:val="15"/>
                        <w:szCs w:val="15"/>
                      </w:rPr>
                    </w:pPr>
                    <w:r>
                      <w:rPr>
                        <w:rFonts w:hint="eastAsia"/>
                        <w:sz w:val="15"/>
                        <w:szCs w:val="15"/>
                      </w:rPr>
                      <w:t>（一）综合收益总额</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r>
                  <w:rPr>
                    <w:rFonts w:ascii="Arial Narrow" w:hAnsi="Arial Narrow"/>
                    <w:sz w:val="15"/>
                    <w:szCs w:val="15"/>
                  </w:rPr>
                  <w:t>2,040,573,358.16</w:t>
                </w:r>
              </w:p>
            </w:tc>
            <w:tc>
              <w:tcPr>
                <w:tcW w:w="1275" w:type="dxa"/>
                <w:vAlign w:val="center"/>
              </w:tcPr>
              <w:p>
                <w:pPr>
                  <w:pStyle w:val="76"/>
                  <w:jc w:val="right"/>
                  <w:rPr>
                    <w:rFonts w:ascii="Arial Narrow" w:hAnsi="Arial Narrow"/>
                    <w:sz w:val="15"/>
                    <w:szCs w:val="15"/>
                  </w:rPr>
                </w:pPr>
                <w:r>
                  <w:rPr>
                    <w:rFonts w:ascii="Arial Narrow" w:hAnsi="Arial Narrow"/>
                    <w:sz w:val="15"/>
                    <w:szCs w:val="15"/>
                  </w:rPr>
                  <w:t>2,040,573,358.16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1f8a3b2131a142dab001b93e1dbdd4ce"/>
                <w:id w:val="25154214"/>
                <w:lock w:val="sdtLocked"/>
              </w:sdtPr>
              <w:sdtEndPr>
                <w:rPr>
                  <w:sz w:val="15"/>
                  <w:szCs w:val="15"/>
                </w:rPr>
              </w:sdtEndPr>
              <w:sdtContent>
                <w:tc>
                  <w:tcPr>
                    <w:tcW w:w="3827" w:type="dxa"/>
                  </w:tcPr>
                  <w:p>
                    <w:pPr>
                      <w:pStyle w:val="76"/>
                      <w:rPr>
                        <w:sz w:val="15"/>
                        <w:szCs w:val="15"/>
                      </w:rPr>
                    </w:pPr>
                    <w:r>
                      <w:rPr>
                        <w:sz w:val="15"/>
                        <w:szCs w:val="15"/>
                      </w:rPr>
                      <w:t>（</w:t>
                    </w:r>
                    <w:r>
                      <w:rPr>
                        <w:rFonts w:hint="eastAsia"/>
                        <w:sz w:val="15"/>
                        <w:szCs w:val="15"/>
                      </w:rPr>
                      <w:t>二</w:t>
                    </w:r>
                    <w:r>
                      <w:rPr>
                        <w:sz w:val="15"/>
                        <w:szCs w:val="15"/>
                      </w:rPr>
                      <w:t>）所有者投入和减少资本</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c4f56867b2a847d08015351431e19eab"/>
                <w:id w:val="25154215"/>
                <w:lock w:val="sdtLocked"/>
              </w:sdtPr>
              <w:sdtEndPr>
                <w:rPr>
                  <w:sz w:val="15"/>
                  <w:szCs w:val="15"/>
                </w:rPr>
              </w:sdtEndPr>
              <w:sdtContent>
                <w:tc>
                  <w:tcPr>
                    <w:tcW w:w="3827" w:type="dxa"/>
                  </w:tcPr>
                  <w:p>
                    <w:pPr>
                      <w:pStyle w:val="76"/>
                      <w:rPr>
                        <w:sz w:val="15"/>
                        <w:szCs w:val="15"/>
                      </w:rPr>
                    </w:pPr>
                    <w:r>
                      <w:rPr>
                        <w:rFonts w:hint="eastAsia"/>
                        <w:sz w:val="15"/>
                        <w:szCs w:val="15"/>
                      </w:rPr>
                      <w:t>1．股东投入的普通股</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94e3b4476ca947e080240f2ad495eff6"/>
                <w:id w:val="25154216"/>
                <w:lock w:val="sdtLocked"/>
              </w:sdtPr>
              <w:sdtEndPr>
                <w:rPr>
                  <w:sz w:val="15"/>
                  <w:szCs w:val="15"/>
                </w:rPr>
              </w:sdtEndPr>
              <w:sdtContent>
                <w:tc>
                  <w:tcPr>
                    <w:tcW w:w="3827" w:type="dxa"/>
                  </w:tcPr>
                  <w:p>
                    <w:pPr>
                      <w:pStyle w:val="76"/>
                      <w:rPr>
                        <w:sz w:val="15"/>
                        <w:szCs w:val="15"/>
                      </w:rPr>
                    </w:pPr>
                    <w:r>
                      <w:rPr>
                        <w:rFonts w:hint="eastAsia"/>
                        <w:sz w:val="15"/>
                        <w:szCs w:val="15"/>
                      </w:rPr>
                      <w:t>2．其他权益工具持有者投入资本</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3566337eff124fd2b4c0e4544ed307f1"/>
                <w:id w:val="25154217"/>
                <w:lock w:val="sdtLocked"/>
              </w:sdtPr>
              <w:sdtEndPr>
                <w:rPr>
                  <w:sz w:val="15"/>
                  <w:szCs w:val="15"/>
                </w:rPr>
              </w:sdtEndPr>
              <w:sdtContent>
                <w:tc>
                  <w:tcPr>
                    <w:tcW w:w="3827" w:type="dxa"/>
                  </w:tcPr>
                  <w:p>
                    <w:pPr>
                      <w:pStyle w:val="76"/>
                      <w:rPr>
                        <w:sz w:val="15"/>
                        <w:szCs w:val="15"/>
                      </w:rPr>
                    </w:pPr>
                    <w:r>
                      <w:rPr>
                        <w:rFonts w:hint="eastAsia"/>
                        <w:sz w:val="15"/>
                        <w:szCs w:val="15"/>
                      </w:rPr>
                      <w:t>3</w:t>
                    </w:r>
                    <w:r>
                      <w:rPr>
                        <w:sz w:val="15"/>
                        <w:szCs w:val="15"/>
                      </w:rPr>
                      <w:t>．股份支付计入所有者权益的金额</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11b3692b5cad48d883210766e1b0c454"/>
                <w:id w:val="25154218"/>
                <w:lock w:val="sdtLocked"/>
              </w:sdtPr>
              <w:sdtEndPr>
                <w:rPr>
                  <w:sz w:val="15"/>
                  <w:szCs w:val="15"/>
                </w:rPr>
              </w:sdtEndPr>
              <w:sdtContent>
                <w:tc>
                  <w:tcPr>
                    <w:tcW w:w="3827" w:type="dxa"/>
                  </w:tcPr>
                  <w:p>
                    <w:pPr>
                      <w:pStyle w:val="76"/>
                      <w:rPr>
                        <w:sz w:val="15"/>
                        <w:szCs w:val="15"/>
                      </w:rPr>
                    </w:pPr>
                    <w:r>
                      <w:rPr>
                        <w:rFonts w:hint="eastAsia"/>
                        <w:sz w:val="15"/>
                        <w:szCs w:val="15"/>
                      </w:rPr>
                      <w:t>4</w:t>
                    </w:r>
                    <w:r>
                      <w:rPr>
                        <w:sz w:val="15"/>
                        <w:szCs w:val="15"/>
                      </w:rPr>
                      <w:t>．其他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375fd3f8e8194967a70d651261305f24"/>
                <w:id w:val="25154219"/>
                <w:lock w:val="sdtLocked"/>
              </w:sdtPr>
              <w:sdtEndPr>
                <w:rPr>
                  <w:sz w:val="15"/>
                  <w:szCs w:val="15"/>
                </w:rPr>
              </w:sdtEndPr>
              <w:sdtContent>
                <w:tc>
                  <w:tcPr>
                    <w:tcW w:w="3827" w:type="dxa"/>
                  </w:tcPr>
                  <w:p>
                    <w:pPr>
                      <w:pStyle w:val="76"/>
                      <w:rPr>
                        <w:sz w:val="15"/>
                        <w:szCs w:val="15"/>
                      </w:rPr>
                    </w:pPr>
                    <w:r>
                      <w:rPr>
                        <w:sz w:val="15"/>
                        <w:szCs w:val="15"/>
                      </w:rPr>
                      <w:t>（</w:t>
                    </w:r>
                    <w:r>
                      <w:rPr>
                        <w:rFonts w:hint="eastAsia"/>
                        <w:sz w:val="15"/>
                        <w:szCs w:val="15"/>
                      </w:rPr>
                      <w:t>三</w:t>
                    </w:r>
                    <w:r>
                      <w:rPr>
                        <w:sz w:val="15"/>
                        <w:szCs w:val="15"/>
                      </w:rPr>
                      <w:t>）利润分配</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r>
                  <w:rPr>
                    <w:rFonts w:ascii="Arial Narrow" w:hAnsi="Arial Narrow"/>
                    <w:sz w:val="15"/>
                    <w:szCs w:val="15"/>
                  </w:rPr>
                  <w:t>-1,281,396,600.00</w:t>
                </w:r>
              </w:p>
            </w:tc>
            <w:tc>
              <w:tcPr>
                <w:tcW w:w="1275" w:type="dxa"/>
                <w:vAlign w:val="center"/>
              </w:tcPr>
              <w:p>
                <w:pPr>
                  <w:pStyle w:val="76"/>
                  <w:jc w:val="right"/>
                  <w:rPr>
                    <w:rFonts w:ascii="Arial Narrow" w:hAnsi="Arial Narrow"/>
                    <w:sz w:val="15"/>
                    <w:szCs w:val="15"/>
                  </w:rPr>
                </w:pPr>
                <w:r>
                  <w:rPr>
                    <w:rFonts w:ascii="Arial Narrow" w:hAnsi="Arial Narrow"/>
                    <w:sz w:val="15"/>
                    <w:szCs w:val="15"/>
                  </w:rPr>
                  <w:t>-1,281,396,600.00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4b1f9862f5e24547a2cb4ae510b6985e"/>
                <w:id w:val="25154220"/>
                <w:lock w:val="sdtLocked"/>
              </w:sdtPr>
              <w:sdtEndPr>
                <w:rPr>
                  <w:sz w:val="15"/>
                  <w:szCs w:val="15"/>
                </w:rPr>
              </w:sdtEndPr>
              <w:sdtContent>
                <w:tc>
                  <w:tcPr>
                    <w:tcW w:w="3827" w:type="dxa"/>
                  </w:tcPr>
                  <w:p>
                    <w:pPr>
                      <w:pStyle w:val="76"/>
                      <w:rPr>
                        <w:sz w:val="15"/>
                        <w:szCs w:val="15"/>
                      </w:rPr>
                    </w:pPr>
                    <w:r>
                      <w:rPr>
                        <w:sz w:val="15"/>
                        <w:szCs w:val="15"/>
                      </w:rPr>
                      <w:t>1．提取盈余公积</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357369849f4a463bbdc8e453abbf411d"/>
                <w:id w:val="25154221"/>
                <w:lock w:val="sdtLocked"/>
              </w:sdtPr>
              <w:sdtEndPr>
                <w:rPr>
                  <w:sz w:val="15"/>
                  <w:szCs w:val="15"/>
                </w:rPr>
              </w:sdtEndPr>
              <w:sdtContent>
                <w:tc>
                  <w:tcPr>
                    <w:tcW w:w="3827" w:type="dxa"/>
                  </w:tcPr>
                  <w:p>
                    <w:pPr>
                      <w:pStyle w:val="76"/>
                      <w:rPr>
                        <w:sz w:val="15"/>
                        <w:szCs w:val="15"/>
                      </w:rPr>
                    </w:pPr>
                    <w:r>
                      <w:rPr>
                        <w:rFonts w:hint="eastAsia"/>
                        <w:sz w:val="15"/>
                        <w:szCs w:val="15"/>
                      </w:rPr>
                      <w:t>2</w:t>
                    </w:r>
                    <w:r>
                      <w:rPr>
                        <w:sz w:val="15"/>
                        <w:szCs w:val="15"/>
                      </w:rPr>
                      <w:t>．对所有者（或股东）的分配</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r>
                  <w:rPr>
                    <w:rFonts w:ascii="Arial Narrow" w:hAnsi="Arial Narrow"/>
                    <w:sz w:val="15"/>
                    <w:szCs w:val="15"/>
                  </w:rPr>
                  <w:t>-1,281,396,600.00</w:t>
                </w:r>
              </w:p>
            </w:tc>
            <w:tc>
              <w:tcPr>
                <w:tcW w:w="1275" w:type="dxa"/>
                <w:vAlign w:val="center"/>
              </w:tcPr>
              <w:p>
                <w:pPr>
                  <w:pStyle w:val="76"/>
                  <w:jc w:val="right"/>
                  <w:rPr>
                    <w:rFonts w:ascii="Arial Narrow" w:hAnsi="Arial Narrow"/>
                    <w:sz w:val="15"/>
                    <w:szCs w:val="15"/>
                  </w:rPr>
                </w:pPr>
                <w:r>
                  <w:rPr>
                    <w:rFonts w:ascii="Arial Narrow" w:hAnsi="Arial Narrow"/>
                    <w:sz w:val="15"/>
                    <w:szCs w:val="15"/>
                  </w:rPr>
                  <w:t>-1,281,396,600.00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7b59ceeda1e64e6bb09195707cddcf95"/>
                <w:id w:val="25154222"/>
                <w:lock w:val="sdtLocked"/>
              </w:sdtPr>
              <w:sdtEndPr>
                <w:rPr>
                  <w:sz w:val="15"/>
                  <w:szCs w:val="15"/>
                </w:rPr>
              </w:sdtEndPr>
              <w:sdtContent>
                <w:tc>
                  <w:tcPr>
                    <w:tcW w:w="3827" w:type="dxa"/>
                  </w:tcPr>
                  <w:p>
                    <w:pPr>
                      <w:pStyle w:val="76"/>
                      <w:rPr>
                        <w:sz w:val="15"/>
                        <w:szCs w:val="15"/>
                      </w:rPr>
                    </w:pPr>
                    <w:r>
                      <w:rPr>
                        <w:rFonts w:hint="eastAsia"/>
                        <w:sz w:val="15"/>
                        <w:szCs w:val="15"/>
                      </w:rPr>
                      <w:t>3</w:t>
                    </w:r>
                    <w:r>
                      <w:rPr>
                        <w:sz w:val="15"/>
                        <w:szCs w:val="15"/>
                      </w:rPr>
                      <w:t>．其他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e756ee8e9991410f9aa546dbc095366c"/>
                <w:id w:val="25154223"/>
                <w:lock w:val="sdtLocked"/>
              </w:sdtPr>
              <w:sdtEndPr>
                <w:rPr>
                  <w:sz w:val="15"/>
                  <w:szCs w:val="15"/>
                </w:rPr>
              </w:sdtEndPr>
              <w:sdtContent>
                <w:tc>
                  <w:tcPr>
                    <w:tcW w:w="3827" w:type="dxa"/>
                  </w:tcPr>
                  <w:p>
                    <w:pPr>
                      <w:pStyle w:val="76"/>
                      <w:rPr>
                        <w:sz w:val="15"/>
                        <w:szCs w:val="15"/>
                      </w:rPr>
                    </w:pPr>
                    <w:r>
                      <w:rPr>
                        <w:sz w:val="15"/>
                        <w:szCs w:val="15"/>
                      </w:rPr>
                      <w:t>（</w:t>
                    </w:r>
                    <w:r>
                      <w:rPr>
                        <w:rFonts w:hint="eastAsia"/>
                        <w:sz w:val="15"/>
                        <w:szCs w:val="15"/>
                      </w:rPr>
                      <w:t>四</w:t>
                    </w:r>
                    <w:r>
                      <w:rPr>
                        <w:sz w:val="15"/>
                        <w:szCs w:val="15"/>
                      </w:rPr>
                      <w:t>）所有者权益内部结转</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d270c9d53ad44176949dd56fc07c895e"/>
                <w:id w:val="25154224"/>
                <w:lock w:val="sdtLocked"/>
              </w:sdtPr>
              <w:sdtEndPr>
                <w:rPr>
                  <w:sz w:val="15"/>
                  <w:szCs w:val="15"/>
                </w:rPr>
              </w:sdtEndPr>
              <w:sdtContent>
                <w:tc>
                  <w:tcPr>
                    <w:tcW w:w="3827" w:type="dxa"/>
                  </w:tcPr>
                  <w:p>
                    <w:pPr>
                      <w:pStyle w:val="76"/>
                      <w:rPr>
                        <w:sz w:val="15"/>
                        <w:szCs w:val="15"/>
                      </w:rPr>
                    </w:pPr>
                    <w:r>
                      <w:rPr>
                        <w:sz w:val="15"/>
                        <w:szCs w:val="15"/>
                      </w:rPr>
                      <w:t>1．资本公积转增资本（或股本）</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0391da97403b49a7a58c7fdf9cb30e38"/>
                <w:id w:val="25154225"/>
                <w:lock w:val="sdtLocked"/>
              </w:sdtPr>
              <w:sdtEndPr>
                <w:rPr>
                  <w:sz w:val="15"/>
                  <w:szCs w:val="15"/>
                </w:rPr>
              </w:sdtEndPr>
              <w:sdtContent>
                <w:tc>
                  <w:tcPr>
                    <w:tcW w:w="3827" w:type="dxa"/>
                  </w:tcPr>
                  <w:p>
                    <w:pPr>
                      <w:pStyle w:val="76"/>
                      <w:rPr>
                        <w:sz w:val="15"/>
                        <w:szCs w:val="15"/>
                      </w:rPr>
                    </w:pPr>
                    <w:r>
                      <w:rPr>
                        <w:sz w:val="15"/>
                        <w:szCs w:val="15"/>
                      </w:rPr>
                      <w:t>2．盈余公积转增资本（或股本）</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6467ad3d4e03455d8b7e700d5888b66b"/>
                <w:id w:val="25154226"/>
                <w:lock w:val="sdtLocked"/>
              </w:sdtPr>
              <w:sdtEndPr>
                <w:rPr>
                  <w:sz w:val="15"/>
                  <w:szCs w:val="15"/>
                </w:rPr>
              </w:sdtEndPr>
              <w:sdtContent>
                <w:tc>
                  <w:tcPr>
                    <w:tcW w:w="3827" w:type="dxa"/>
                  </w:tcPr>
                  <w:p>
                    <w:pPr>
                      <w:pStyle w:val="76"/>
                      <w:rPr>
                        <w:sz w:val="15"/>
                        <w:szCs w:val="15"/>
                      </w:rPr>
                    </w:pPr>
                    <w:r>
                      <w:rPr>
                        <w:sz w:val="15"/>
                        <w:szCs w:val="15"/>
                      </w:rPr>
                      <w:t>3．盈余公积弥补亏损</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85994b8a93674353b181e63b330cc0a4"/>
                <w:id w:val="25154227"/>
                <w:lock w:val="sdtLocked"/>
              </w:sdtPr>
              <w:sdtEndPr>
                <w:rPr>
                  <w:sz w:val="15"/>
                  <w:szCs w:val="15"/>
                </w:rPr>
              </w:sdtEndPr>
              <w:sdtContent>
                <w:tc>
                  <w:tcPr>
                    <w:tcW w:w="3827" w:type="dxa"/>
                  </w:tcPr>
                  <w:p>
                    <w:pPr>
                      <w:pStyle w:val="76"/>
                      <w:rPr>
                        <w:sz w:val="15"/>
                        <w:szCs w:val="15"/>
                      </w:rPr>
                    </w:pPr>
                    <w:r>
                      <w:rPr>
                        <w:sz w:val="15"/>
                        <w:szCs w:val="15"/>
                      </w:rPr>
                      <w:t>4．其他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b8ee16698bbd47fd9edae31fb7553080"/>
                <w:id w:val="25154228"/>
                <w:lock w:val="sdtLocked"/>
              </w:sdtPr>
              <w:sdtEndPr>
                <w:rPr>
                  <w:sz w:val="15"/>
                  <w:szCs w:val="15"/>
                </w:rPr>
              </w:sdtEndPr>
              <w:sdtContent>
                <w:tc>
                  <w:tcPr>
                    <w:tcW w:w="3827" w:type="dxa"/>
                    <w:vAlign w:val="center"/>
                  </w:tcPr>
                  <w:p>
                    <w:pPr>
                      <w:pStyle w:val="76"/>
                      <w:rPr>
                        <w:sz w:val="15"/>
                        <w:szCs w:val="15"/>
                      </w:rPr>
                    </w:pPr>
                    <w:r>
                      <w:rPr>
                        <w:rFonts w:hint="eastAsia"/>
                        <w:sz w:val="15"/>
                        <w:szCs w:val="15"/>
                      </w:rPr>
                      <w:t xml:space="preserve"> （五）专项储备</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3,254,110.26</w:t>
                </w: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r>
                  <w:rPr>
                    <w:rFonts w:ascii="Arial Narrow" w:hAnsi="Arial Narrow"/>
                    <w:sz w:val="15"/>
                    <w:szCs w:val="15"/>
                  </w:rPr>
                  <w:t>3,254,110.26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c722b9fcbba24d2b9a510a084f0b559e"/>
                <w:id w:val="25154229"/>
                <w:lock w:val="sdtLocked"/>
              </w:sdtPr>
              <w:sdtEndPr>
                <w:rPr>
                  <w:sz w:val="15"/>
                  <w:szCs w:val="15"/>
                </w:rPr>
              </w:sdtEndPr>
              <w:sdtContent>
                <w:tc>
                  <w:tcPr>
                    <w:tcW w:w="3827" w:type="dxa"/>
                    <w:vAlign w:val="center"/>
                  </w:tcPr>
                  <w:p>
                    <w:pPr>
                      <w:pStyle w:val="76"/>
                      <w:rPr>
                        <w:sz w:val="15"/>
                        <w:szCs w:val="15"/>
                      </w:rPr>
                    </w:pPr>
                    <w:r>
                      <w:rPr>
                        <w:rFonts w:hint="eastAsia"/>
                        <w:sz w:val="15"/>
                        <w:szCs w:val="15"/>
                      </w:rPr>
                      <w:t>1．本期提取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17,465,000.02</w:t>
                </w: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r>
                  <w:rPr>
                    <w:rFonts w:ascii="Arial Narrow" w:hAnsi="Arial Narrow"/>
                    <w:sz w:val="15"/>
                    <w:szCs w:val="15"/>
                  </w:rPr>
                  <w:t>17,465,000.02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ff83a40e75464a129f9e48275fa4e673"/>
                <w:id w:val="25154230"/>
                <w:lock w:val="sdtLocked"/>
              </w:sdtPr>
              <w:sdtEndPr>
                <w:rPr>
                  <w:sz w:val="15"/>
                  <w:szCs w:val="15"/>
                </w:rPr>
              </w:sdtEndPr>
              <w:sdtContent>
                <w:tc>
                  <w:tcPr>
                    <w:tcW w:w="3827" w:type="dxa"/>
                    <w:vAlign w:val="center"/>
                  </w:tcPr>
                  <w:p>
                    <w:pPr>
                      <w:pStyle w:val="76"/>
                      <w:rPr>
                        <w:sz w:val="15"/>
                        <w:szCs w:val="15"/>
                      </w:rPr>
                    </w:pPr>
                    <w:r>
                      <w:rPr>
                        <w:rFonts w:hint="eastAsia"/>
                        <w:sz w:val="15"/>
                        <w:szCs w:val="15"/>
                      </w:rPr>
                      <w:t>2．本期使用</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14,210,889.76</w:t>
                </w: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ind w:right="75"/>
                  <w:jc w:val="right"/>
                  <w:rPr>
                    <w:rFonts w:ascii="Arial Narrow" w:hAnsi="Arial Narrow"/>
                    <w:sz w:val="15"/>
                    <w:szCs w:val="15"/>
                  </w:rPr>
                </w:pPr>
                <w:r>
                  <w:rPr>
                    <w:rFonts w:ascii="Arial Narrow" w:hAnsi="Arial Narrow"/>
                    <w:sz w:val="15"/>
                    <w:szCs w:val="15"/>
                  </w:rPr>
                  <w:t>14,210,889.76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604996097b50436ab43fec92c85a96c6"/>
                <w:id w:val="25154231"/>
                <w:lock w:val="sdtLocked"/>
              </w:sdtPr>
              <w:sdtEndPr>
                <w:rPr>
                  <w:sz w:val="15"/>
                  <w:szCs w:val="15"/>
                </w:rPr>
              </w:sdtEndPr>
              <w:sdtContent>
                <w:tc>
                  <w:tcPr>
                    <w:tcW w:w="3827" w:type="dxa"/>
                  </w:tcPr>
                  <w:p>
                    <w:pPr>
                      <w:pStyle w:val="76"/>
                      <w:rPr>
                        <w:sz w:val="15"/>
                        <w:szCs w:val="15"/>
                      </w:rPr>
                    </w:pPr>
                    <w:r>
                      <w:rPr>
                        <w:rFonts w:hint="eastAsia"/>
                        <w:sz w:val="15"/>
                        <w:szCs w:val="15"/>
                      </w:rPr>
                      <w:t>（六）其他</w:t>
                    </w:r>
                  </w:p>
                </w:tc>
              </w:sdtContent>
            </w:sdt>
            <w:tc>
              <w:tcPr>
                <w:tcW w:w="1276" w:type="dxa"/>
                <w:tcBorders>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6" w:type="dxa"/>
                <w:vAlign w:val="center"/>
              </w:tcPr>
              <w:p>
                <w:pPr>
                  <w:pStyle w:val="76"/>
                  <w:jc w:val="right"/>
                  <w:rPr>
                    <w:rFonts w:ascii="Arial Narrow" w:hAnsi="Arial Narrow"/>
                    <w:sz w:val="15"/>
                    <w:szCs w:val="15"/>
                  </w:rPr>
                </w:pPr>
              </w:p>
            </w:tc>
            <w:tc>
              <w:tcPr>
                <w:tcW w:w="1275" w:type="dxa"/>
                <w:vAlign w:val="center"/>
              </w:tcPr>
              <w:p>
                <w:pPr>
                  <w:pStyle w:val="76"/>
                  <w:jc w:val="right"/>
                  <w:rPr>
                    <w:rFonts w:ascii="Arial Narrow" w:hAnsi="Arial Narro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5"/>
                  <w:szCs w:val="15"/>
                </w:rPr>
                <w:tag w:val="_PLD_906cabd9d1784e58a4b689b32de74f53"/>
                <w:id w:val="25154232"/>
                <w:lock w:val="sdtLocked"/>
              </w:sdtPr>
              <w:sdtEndPr>
                <w:rPr>
                  <w:sz w:val="15"/>
                  <w:szCs w:val="15"/>
                </w:rPr>
              </w:sdtEndPr>
              <w:sdtContent>
                <w:tc>
                  <w:tcPr>
                    <w:tcW w:w="3827" w:type="dxa"/>
                  </w:tcPr>
                  <w:p>
                    <w:pPr>
                      <w:pStyle w:val="76"/>
                      <w:rPr>
                        <w:sz w:val="15"/>
                        <w:szCs w:val="15"/>
                      </w:rPr>
                    </w:pPr>
                    <w:r>
                      <w:rPr>
                        <w:sz w:val="15"/>
                        <w:szCs w:val="15"/>
                      </w:rPr>
                      <w:t>四、本期期末余额</w:t>
                    </w:r>
                  </w:p>
                </w:tc>
              </w:sdtContent>
            </w:sdt>
            <w:tc>
              <w:tcPr>
                <w:tcW w:w="1276" w:type="dxa"/>
                <w:tcBorders>
                  <w:right w:val="single" w:color="auto" w:sz="4" w:space="0"/>
                </w:tcBorders>
                <w:vAlign w:val="center"/>
              </w:tcPr>
              <w:p>
                <w:pPr>
                  <w:pStyle w:val="76"/>
                  <w:jc w:val="right"/>
                  <w:rPr>
                    <w:rFonts w:ascii="Arial Narrow" w:hAnsi="Arial Narrow"/>
                    <w:sz w:val="15"/>
                    <w:szCs w:val="15"/>
                  </w:rPr>
                </w:pPr>
                <w:r>
                  <w:rPr>
                    <w:rFonts w:ascii="Arial Narrow" w:hAnsi="Arial Narrow"/>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sz w:val="15"/>
                    <w:szCs w:val="15"/>
                  </w:rPr>
                </w:pPr>
              </w:p>
            </w:tc>
            <w:tc>
              <w:tcPr>
                <w:tcW w:w="567" w:type="dxa"/>
                <w:tcBorders>
                  <w:left w:val="single" w:color="auto" w:sz="4" w:space="0"/>
                </w:tcBorders>
                <w:vAlign w:val="center"/>
              </w:tcPr>
              <w:p>
                <w:pPr>
                  <w:pStyle w:val="76"/>
                  <w:jc w:val="right"/>
                  <w:rPr>
                    <w:rFonts w:ascii="Arial Narrow" w:hAnsi="Arial Narrow"/>
                    <w:sz w:val="15"/>
                    <w:szCs w:val="15"/>
                  </w:rPr>
                </w:pPr>
              </w:p>
            </w:tc>
            <w:tc>
              <w:tcPr>
                <w:tcW w:w="1134" w:type="dxa"/>
                <w:vAlign w:val="center"/>
              </w:tcPr>
              <w:p>
                <w:pPr>
                  <w:pStyle w:val="76"/>
                  <w:jc w:val="right"/>
                  <w:rPr>
                    <w:rFonts w:ascii="Arial Narrow" w:hAnsi="Arial Narrow"/>
                    <w:sz w:val="15"/>
                    <w:szCs w:val="15"/>
                  </w:rPr>
                </w:pPr>
                <w:r>
                  <w:rPr>
                    <w:rFonts w:ascii="Arial Narrow" w:hAnsi="Arial Narrow"/>
                    <w:sz w:val="15"/>
                    <w:szCs w:val="15"/>
                  </w:rPr>
                  <w:t>208,436,169.08</w:t>
                </w:r>
              </w:p>
            </w:tc>
            <w:tc>
              <w:tcPr>
                <w:tcW w:w="708" w:type="dxa"/>
                <w:vAlign w:val="center"/>
              </w:tcPr>
              <w:p>
                <w:pPr>
                  <w:pStyle w:val="76"/>
                  <w:jc w:val="right"/>
                  <w:rPr>
                    <w:rFonts w:ascii="Arial Narrow" w:hAnsi="Arial Narrow"/>
                    <w:sz w:val="15"/>
                    <w:szCs w:val="15"/>
                  </w:rPr>
                </w:pPr>
              </w:p>
            </w:tc>
            <w:tc>
              <w:tcPr>
                <w:tcW w:w="741" w:type="dxa"/>
                <w:vAlign w:val="center"/>
              </w:tcPr>
              <w:p>
                <w:pPr>
                  <w:pStyle w:val="76"/>
                  <w:jc w:val="right"/>
                  <w:rPr>
                    <w:rFonts w:ascii="Arial Narrow" w:hAnsi="Arial Narrow"/>
                    <w:sz w:val="15"/>
                    <w:szCs w:val="15"/>
                  </w:rPr>
                </w:pPr>
              </w:p>
            </w:tc>
            <w:tc>
              <w:tcPr>
                <w:tcW w:w="1102" w:type="dxa"/>
                <w:vAlign w:val="center"/>
              </w:tcPr>
              <w:p>
                <w:pPr>
                  <w:pStyle w:val="76"/>
                  <w:jc w:val="right"/>
                  <w:rPr>
                    <w:rFonts w:ascii="Arial Narrow" w:hAnsi="Arial Narrow"/>
                    <w:sz w:val="15"/>
                    <w:szCs w:val="15"/>
                  </w:rPr>
                </w:pPr>
                <w:r>
                  <w:rPr>
                    <w:rFonts w:ascii="Arial Narrow" w:hAnsi="Arial Narrow"/>
                    <w:sz w:val="15"/>
                    <w:szCs w:val="15"/>
                  </w:rPr>
                  <w:t>4,358,100.25</w:t>
                </w:r>
              </w:p>
            </w:tc>
            <w:tc>
              <w:tcPr>
                <w:tcW w:w="1276" w:type="dxa"/>
                <w:vAlign w:val="center"/>
              </w:tcPr>
              <w:p>
                <w:pPr>
                  <w:pStyle w:val="76"/>
                  <w:jc w:val="right"/>
                  <w:rPr>
                    <w:rFonts w:ascii="Arial Narrow" w:hAnsi="Arial Narrow"/>
                    <w:sz w:val="15"/>
                    <w:szCs w:val="15"/>
                  </w:rPr>
                </w:pPr>
                <w:r>
                  <w:rPr>
                    <w:rFonts w:ascii="Arial Narrow" w:hAnsi="Arial Narrow"/>
                    <w:sz w:val="15"/>
                    <w:szCs w:val="15"/>
                  </w:rPr>
                  <w:t>1,237,059,322.55</w:t>
                </w:r>
              </w:p>
            </w:tc>
            <w:tc>
              <w:tcPr>
                <w:tcW w:w="1276" w:type="dxa"/>
                <w:vAlign w:val="center"/>
              </w:tcPr>
              <w:p>
                <w:pPr>
                  <w:pStyle w:val="76"/>
                  <w:ind w:right="75"/>
                  <w:jc w:val="right"/>
                  <w:rPr>
                    <w:rFonts w:ascii="Arial Narrow" w:hAnsi="Arial Narrow"/>
                    <w:sz w:val="15"/>
                    <w:szCs w:val="15"/>
                  </w:rPr>
                </w:pPr>
                <w:r>
                  <w:rPr>
                    <w:rFonts w:ascii="Arial Narrow" w:hAnsi="Arial Narrow"/>
                    <w:sz w:val="15"/>
                    <w:szCs w:val="15"/>
                  </w:rPr>
                  <w:t>3,948,982,008.68</w:t>
                </w:r>
              </w:p>
            </w:tc>
            <w:tc>
              <w:tcPr>
                <w:tcW w:w="1275" w:type="dxa"/>
                <w:vAlign w:val="center"/>
              </w:tcPr>
              <w:p>
                <w:pPr>
                  <w:pStyle w:val="76"/>
                  <w:ind w:right="75"/>
                  <w:jc w:val="right"/>
                  <w:rPr>
                    <w:rFonts w:ascii="Arial Narrow" w:hAnsi="Arial Narrow"/>
                    <w:sz w:val="15"/>
                    <w:szCs w:val="15"/>
                  </w:rPr>
                </w:pPr>
                <w:r>
                  <w:rPr>
                    <w:rFonts w:ascii="Arial Narrow" w:hAnsi="Arial Narrow"/>
                    <w:sz w:val="15"/>
                    <w:szCs w:val="15"/>
                  </w:rPr>
                  <w:t>7,961,628,800.56</w:t>
                </w:r>
              </w:p>
            </w:tc>
          </w:tr>
        </w:tbl>
        <w:p>
          <w:pPr>
            <w:pStyle w:val="76"/>
          </w:pPr>
        </w:p>
        <w:p>
          <w:pPr>
            <w:pStyle w:val="76"/>
            <w:rPr>
              <w:szCs w:val="21"/>
            </w:rPr>
          </w:pPr>
        </w:p>
        <w:tbl>
          <w:tblPr>
            <w:tblStyle w:val="82"/>
            <w:tblW w:w="1445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276"/>
            <w:gridCol w:w="567"/>
            <w:gridCol w:w="709"/>
            <w:gridCol w:w="567"/>
            <w:gridCol w:w="1134"/>
            <w:gridCol w:w="708"/>
            <w:gridCol w:w="709"/>
            <w:gridCol w:w="1276"/>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e6be1173a9a44e9b8d99fc023dfa9c35"/>
                <w:id w:val="25154233"/>
                <w:lock w:val="sdtLocked"/>
              </w:sdtPr>
              <w:sdtEndPr>
                <w:rPr>
                  <w:rFonts w:asciiTheme="minorEastAsia" w:hAnsiTheme="minorEastAsia" w:eastAsiaTheme="minorEastAsia"/>
                  <w:sz w:val="15"/>
                  <w:szCs w:val="15"/>
                </w:rPr>
              </w:sdtEndPr>
              <w:sdtContent>
                <w:tc>
                  <w:tcPr>
                    <w:tcW w:w="3827"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项目</w:t>
                    </w:r>
                  </w:p>
                </w:tc>
              </w:sdtContent>
            </w:sdt>
            <w:sdt>
              <w:sdtPr>
                <w:rPr>
                  <w:rFonts w:asciiTheme="minorEastAsia" w:hAnsiTheme="minorEastAsia" w:eastAsiaTheme="minorEastAsia"/>
                  <w:sz w:val="15"/>
                  <w:szCs w:val="15"/>
                </w:rPr>
                <w:tag w:val="_PLD_bb736a3a5f134f5e9cdb6b20a8ab9e9e"/>
                <w:id w:val="25154234"/>
                <w:lock w:val="sdtLocked"/>
              </w:sdtPr>
              <w:sdtEndPr>
                <w:rPr>
                  <w:rFonts w:asciiTheme="minorEastAsia" w:hAnsiTheme="minorEastAsia" w:eastAsiaTheme="minorEastAsia"/>
                  <w:sz w:val="15"/>
                  <w:szCs w:val="15"/>
                </w:rPr>
              </w:sdtEndPr>
              <w:sdtContent>
                <w:tc>
                  <w:tcPr>
                    <w:tcW w:w="10631" w:type="dxa"/>
                    <w:gridSpan w:val="11"/>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上期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827" w:type="dxa"/>
                <w:vMerge w:val="continue"/>
              </w:tcPr>
              <w:p>
                <w:pPr>
                  <w:pStyle w:val="76"/>
                  <w:adjustRightInd w:val="0"/>
                  <w:snapToGrid w:val="0"/>
                  <w:rPr>
                    <w:rFonts w:asciiTheme="minorEastAsia" w:hAnsiTheme="minorEastAsia" w:eastAsiaTheme="minorEastAsia"/>
                    <w:sz w:val="15"/>
                    <w:szCs w:val="15"/>
                  </w:rPr>
                </w:pPr>
              </w:p>
            </w:tc>
            <w:sdt>
              <w:sdtPr>
                <w:rPr>
                  <w:rFonts w:asciiTheme="minorEastAsia" w:hAnsiTheme="minorEastAsia" w:eastAsiaTheme="minorEastAsia"/>
                  <w:sz w:val="15"/>
                  <w:szCs w:val="15"/>
                </w:rPr>
                <w:tag w:val="_PLD_06650da414eb427383761f333c9f40a8"/>
                <w:id w:val="25154235"/>
                <w:lock w:val="sdtLocked"/>
              </w:sdtPr>
              <w:sdtEndPr>
                <w:rPr>
                  <w:rFonts w:asciiTheme="minorEastAsia" w:hAnsiTheme="minorEastAsia" w:eastAsiaTheme="minorEastAsia"/>
                  <w:sz w:val="15"/>
                  <w:szCs w:val="15"/>
                </w:rPr>
              </w:sdtEndPr>
              <w:sdtContent>
                <w:tc>
                  <w:tcPr>
                    <w:tcW w:w="1276" w:type="dxa"/>
                    <w:vMerge w:val="restart"/>
                    <w:tcBorders>
                      <w:right w:val="single" w:color="auto" w:sz="4" w:space="0"/>
                    </w:tcBorders>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股本</w:t>
                    </w:r>
                  </w:p>
                </w:tc>
              </w:sdtContent>
            </w:sdt>
            <w:sdt>
              <w:sdtPr>
                <w:rPr>
                  <w:rFonts w:asciiTheme="minorEastAsia" w:hAnsiTheme="minorEastAsia" w:eastAsiaTheme="minorEastAsia"/>
                  <w:sz w:val="15"/>
                  <w:szCs w:val="15"/>
                </w:rPr>
                <w:tag w:val="_PLD_51fb8e4e475b40bd91b11664741c02d2"/>
                <w:id w:val="25154236"/>
                <w:lock w:val="sdtLocked"/>
              </w:sdtPr>
              <w:sdtEndPr>
                <w:rPr>
                  <w:rFonts w:asciiTheme="minorEastAsia" w:hAnsiTheme="minorEastAsia" w:eastAsiaTheme="minorEastAsia"/>
                  <w:sz w:val="15"/>
                  <w:szCs w:val="15"/>
                </w:rPr>
              </w:sdtEndPr>
              <w:sdtContent>
                <w:tc>
                  <w:tcPr>
                    <w:tcW w:w="1843" w:type="dxa"/>
                    <w:gridSpan w:val="3"/>
                    <w:tcBorders>
                      <w:left w:val="single" w:color="auto" w:sz="4" w:space="0"/>
                      <w:bottom w:val="single" w:color="auto" w:sz="4" w:space="0"/>
                    </w:tcBorders>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其他权益工具</w:t>
                    </w:r>
                  </w:p>
                </w:tc>
              </w:sdtContent>
            </w:sdt>
            <w:sdt>
              <w:sdtPr>
                <w:rPr>
                  <w:rFonts w:asciiTheme="minorEastAsia" w:hAnsiTheme="minorEastAsia" w:eastAsiaTheme="minorEastAsia"/>
                  <w:sz w:val="15"/>
                  <w:szCs w:val="15"/>
                </w:rPr>
                <w:tag w:val="_PLD_185175567a5c44409449225e0d80ae12"/>
                <w:id w:val="25154237"/>
                <w:lock w:val="sdtLocked"/>
              </w:sdtPr>
              <w:sdtEndPr>
                <w:rPr>
                  <w:rFonts w:asciiTheme="minorEastAsia" w:hAnsiTheme="minorEastAsia" w:eastAsiaTheme="minorEastAsia"/>
                  <w:sz w:val="15"/>
                  <w:szCs w:val="15"/>
                </w:rPr>
              </w:sdtEndPr>
              <w:sdtContent>
                <w:tc>
                  <w:tcPr>
                    <w:tcW w:w="1134"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资本公积</w:t>
                    </w:r>
                  </w:p>
                </w:tc>
              </w:sdtContent>
            </w:sdt>
            <w:sdt>
              <w:sdtPr>
                <w:rPr>
                  <w:rFonts w:asciiTheme="minorEastAsia" w:hAnsiTheme="minorEastAsia" w:eastAsiaTheme="minorEastAsia"/>
                  <w:sz w:val="15"/>
                  <w:szCs w:val="15"/>
                </w:rPr>
                <w:tag w:val="_PLD_12a0805728384d6199563dc2b18049fd"/>
                <w:id w:val="25154238"/>
                <w:lock w:val="sdtLocked"/>
              </w:sdtPr>
              <w:sdtEndPr>
                <w:rPr>
                  <w:rFonts w:asciiTheme="minorEastAsia" w:hAnsiTheme="minorEastAsia" w:eastAsiaTheme="minorEastAsia"/>
                  <w:sz w:val="15"/>
                  <w:szCs w:val="15"/>
                </w:rPr>
              </w:sdtEndPr>
              <w:sdtContent>
                <w:tc>
                  <w:tcPr>
                    <w:tcW w:w="708"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减：库存股</w:t>
                    </w:r>
                  </w:p>
                </w:tc>
              </w:sdtContent>
            </w:sdt>
            <w:sdt>
              <w:sdtPr>
                <w:rPr>
                  <w:rFonts w:asciiTheme="minorEastAsia" w:hAnsiTheme="minorEastAsia" w:eastAsiaTheme="minorEastAsia"/>
                  <w:sz w:val="15"/>
                  <w:szCs w:val="15"/>
                </w:rPr>
                <w:tag w:val="_PLD_2e9c65ba3a1d43d5b7316ed1fd27b892"/>
                <w:id w:val="25154239"/>
                <w:lock w:val="sdtLocked"/>
              </w:sdtPr>
              <w:sdtEndPr>
                <w:rPr>
                  <w:rFonts w:asciiTheme="minorEastAsia" w:hAnsiTheme="minorEastAsia" w:eastAsiaTheme="minorEastAsia"/>
                  <w:sz w:val="15"/>
                  <w:szCs w:val="15"/>
                </w:rPr>
              </w:sdtEndPr>
              <w:sdtContent>
                <w:tc>
                  <w:tcPr>
                    <w:tcW w:w="709" w:type="dxa"/>
                    <w:vMerge w:val="restart"/>
                    <w:vAlign w:val="center"/>
                  </w:tcPr>
                  <w:p>
                    <w:pPr>
                      <w:pStyle w:val="7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其他综合收益</w:t>
                    </w:r>
                  </w:p>
                </w:tc>
              </w:sdtContent>
            </w:sdt>
            <w:sdt>
              <w:sdtPr>
                <w:rPr>
                  <w:rFonts w:asciiTheme="minorEastAsia" w:hAnsiTheme="minorEastAsia" w:eastAsiaTheme="minorEastAsia"/>
                  <w:sz w:val="15"/>
                  <w:szCs w:val="15"/>
                </w:rPr>
                <w:tag w:val="_PLD_489b1b0e598e4b4d8caca650f1a2a740"/>
                <w:id w:val="25154240"/>
                <w:lock w:val="sdtLocked"/>
              </w:sdtPr>
              <w:sdtEndPr>
                <w:rPr>
                  <w:rFonts w:asciiTheme="minorEastAsia" w:hAnsiTheme="minorEastAsia" w:eastAsiaTheme="minorEastAsia"/>
                  <w:sz w:val="15"/>
                  <w:szCs w:val="15"/>
                </w:rPr>
              </w:sdtEndPr>
              <w:sdtContent>
                <w:tc>
                  <w:tcPr>
                    <w:tcW w:w="1276" w:type="dxa"/>
                    <w:vMerge w:val="restart"/>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专项储备</w:t>
                    </w:r>
                  </w:p>
                </w:tc>
              </w:sdtContent>
            </w:sdt>
            <w:sdt>
              <w:sdtPr>
                <w:rPr>
                  <w:rFonts w:asciiTheme="minorEastAsia" w:hAnsiTheme="minorEastAsia" w:eastAsiaTheme="minorEastAsia"/>
                  <w:sz w:val="15"/>
                  <w:szCs w:val="15"/>
                </w:rPr>
                <w:tag w:val="_PLD_0ef6244b850141979b27d33ec3e1a448"/>
                <w:id w:val="25154241"/>
                <w:lock w:val="sdtLocked"/>
              </w:sdtPr>
              <w:sdtEndPr>
                <w:rPr>
                  <w:rFonts w:asciiTheme="minorEastAsia" w:hAnsiTheme="minorEastAsia" w:eastAsiaTheme="minorEastAsia"/>
                  <w:sz w:val="15"/>
                  <w:szCs w:val="15"/>
                </w:rPr>
              </w:sdtEndPr>
              <w:sdtContent>
                <w:tc>
                  <w:tcPr>
                    <w:tcW w:w="1134"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盈余公积</w:t>
                    </w:r>
                  </w:p>
                </w:tc>
              </w:sdtContent>
            </w:sdt>
            <w:sdt>
              <w:sdtPr>
                <w:rPr>
                  <w:rFonts w:asciiTheme="minorEastAsia" w:hAnsiTheme="minorEastAsia" w:eastAsiaTheme="minorEastAsia"/>
                  <w:sz w:val="15"/>
                  <w:szCs w:val="15"/>
                </w:rPr>
                <w:tag w:val="_PLD_8cd7138895b8463dbceb45c659186847"/>
                <w:id w:val="25154242"/>
                <w:lock w:val="sdtLocked"/>
              </w:sdtPr>
              <w:sdtEndPr>
                <w:rPr>
                  <w:rFonts w:asciiTheme="minorEastAsia" w:hAnsiTheme="minorEastAsia" w:eastAsiaTheme="minorEastAsia"/>
                  <w:sz w:val="15"/>
                  <w:szCs w:val="15"/>
                </w:rPr>
              </w:sdtEndPr>
              <w:sdtContent>
                <w:tc>
                  <w:tcPr>
                    <w:tcW w:w="1276"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未分配利润</w:t>
                    </w:r>
                  </w:p>
                </w:tc>
              </w:sdtContent>
            </w:sdt>
            <w:sdt>
              <w:sdtPr>
                <w:rPr>
                  <w:rFonts w:asciiTheme="minorEastAsia" w:hAnsiTheme="minorEastAsia" w:eastAsiaTheme="minorEastAsia"/>
                  <w:sz w:val="15"/>
                  <w:szCs w:val="15"/>
                </w:rPr>
                <w:tag w:val="_PLD_82d3133b03184722ac0cc463f6e50f9e"/>
                <w:id w:val="25154243"/>
                <w:lock w:val="sdtLocked"/>
              </w:sdtPr>
              <w:sdtEndPr>
                <w:rPr>
                  <w:rFonts w:asciiTheme="minorEastAsia" w:hAnsiTheme="minorEastAsia" w:eastAsiaTheme="minorEastAsia"/>
                  <w:sz w:val="15"/>
                  <w:szCs w:val="15"/>
                </w:rPr>
              </w:sdtEndPr>
              <w:sdtContent>
                <w:tc>
                  <w:tcPr>
                    <w:tcW w:w="1275" w:type="dxa"/>
                    <w:vMerge w:val="restart"/>
                    <w:vAlign w:val="center"/>
                  </w:tcPr>
                  <w:p>
                    <w:pPr>
                      <w:pStyle w:val="76"/>
                      <w:adjustRightInd w:val="0"/>
                      <w:snapToGrid w:val="0"/>
                      <w:jc w:val="center"/>
                      <w:rPr>
                        <w:rFonts w:asciiTheme="minorEastAsia" w:hAnsiTheme="minorEastAsia" w:eastAsiaTheme="minorEastAsia"/>
                        <w:sz w:val="15"/>
                        <w:szCs w:val="15"/>
                      </w:rPr>
                    </w:pPr>
                    <w:r>
                      <w:rPr>
                        <w:rFonts w:asciiTheme="minorEastAsia" w:hAnsiTheme="minorEastAsia" w:eastAsiaTheme="minorEastAsia"/>
                        <w:sz w:val="15"/>
                        <w:szCs w:val="15"/>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827" w:type="dxa"/>
                <w:vMerge w:val="continue"/>
              </w:tcPr>
              <w:p>
                <w:pPr>
                  <w:pStyle w:val="76"/>
                  <w:adjustRightInd w:val="0"/>
                  <w:snapToGrid w:val="0"/>
                  <w:rPr>
                    <w:rFonts w:asciiTheme="minorEastAsia" w:hAnsiTheme="minorEastAsia" w:eastAsiaTheme="minorEastAsia"/>
                    <w:sz w:val="15"/>
                    <w:szCs w:val="15"/>
                  </w:rPr>
                </w:pPr>
              </w:p>
            </w:tc>
            <w:tc>
              <w:tcPr>
                <w:tcW w:w="1276" w:type="dxa"/>
                <w:vMerge w:val="continue"/>
                <w:tcBorders>
                  <w:right w:val="single" w:color="auto" w:sz="4" w:space="0"/>
                </w:tcBorders>
              </w:tcPr>
              <w:p>
                <w:pPr>
                  <w:pStyle w:val="76"/>
                  <w:adjustRightInd w:val="0"/>
                  <w:snapToGrid w:val="0"/>
                  <w:jc w:val="center"/>
                  <w:rPr>
                    <w:rFonts w:asciiTheme="minorEastAsia" w:hAnsiTheme="minorEastAsia" w:eastAsiaTheme="minorEastAsia"/>
                    <w:sz w:val="15"/>
                    <w:szCs w:val="15"/>
                  </w:rPr>
                </w:pPr>
              </w:p>
            </w:tc>
            <w:sdt>
              <w:sdtPr>
                <w:rPr>
                  <w:rFonts w:asciiTheme="minorEastAsia" w:hAnsiTheme="minorEastAsia" w:eastAsiaTheme="minorEastAsia"/>
                  <w:sz w:val="15"/>
                  <w:szCs w:val="15"/>
                </w:rPr>
                <w:tag w:val="_PLD_02eb772ec1c14897b2657a2755fb92fb"/>
                <w:id w:val="25154244"/>
                <w:lock w:val="sdtLocked"/>
              </w:sdtPr>
              <w:sdtEndPr>
                <w:rPr>
                  <w:rFonts w:asciiTheme="minorEastAsia" w:hAnsiTheme="minorEastAsia" w:eastAsiaTheme="minorEastAsia"/>
                  <w:sz w:val="15"/>
                  <w:szCs w:val="15"/>
                </w:rPr>
              </w:sdtEndPr>
              <w:sdtContent>
                <w:tc>
                  <w:tcPr>
                    <w:tcW w:w="567" w:type="dxa"/>
                    <w:tcBorders>
                      <w:top w:val="single" w:color="auto" w:sz="4" w:space="0"/>
                      <w:left w:val="single" w:color="auto" w:sz="4" w:space="0"/>
                      <w:right w:val="single" w:color="auto" w:sz="4" w:space="0"/>
                    </w:tcBorders>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优先股</w:t>
                    </w:r>
                  </w:p>
                </w:tc>
              </w:sdtContent>
            </w:sdt>
            <w:sdt>
              <w:sdtPr>
                <w:rPr>
                  <w:rFonts w:asciiTheme="minorEastAsia" w:hAnsiTheme="minorEastAsia" w:eastAsiaTheme="minorEastAsia"/>
                  <w:sz w:val="15"/>
                  <w:szCs w:val="15"/>
                </w:rPr>
                <w:tag w:val="_PLD_bdb5b7ef4d6944cf9385fb04f95301f7"/>
                <w:id w:val="25154245"/>
                <w:lock w:val="sdtLocked"/>
              </w:sdtPr>
              <w:sdtEndPr>
                <w:rPr>
                  <w:rFonts w:asciiTheme="minorEastAsia" w:hAnsiTheme="minorEastAsia" w:eastAsiaTheme="minorEastAsia"/>
                  <w:sz w:val="15"/>
                  <w:szCs w:val="15"/>
                </w:rPr>
              </w:sdtEndPr>
              <w:sdtContent>
                <w:tc>
                  <w:tcPr>
                    <w:tcW w:w="709" w:type="dxa"/>
                    <w:tcBorders>
                      <w:top w:val="single" w:color="auto" w:sz="4" w:space="0"/>
                      <w:left w:val="single" w:color="auto" w:sz="4" w:space="0"/>
                      <w:right w:val="single" w:color="auto" w:sz="4" w:space="0"/>
                    </w:tcBorders>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永续债</w:t>
                    </w:r>
                  </w:p>
                </w:tc>
              </w:sdtContent>
            </w:sdt>
            <w:sdt>
              <w:sdtPr>
                <w:rPr>
                  <w:rFonts w:asciiTheme="minorEastAsia" w:hAnsiTheme="minorEastAsia" w:eastAsiaTheme="minorEastAsia"/>
                  <w:sz w:val="15"/>
                  <w:szCs w:val="15"/>
                </w:rPr>
                <w:tag w:val="_PLD_55aa9cc44a664e288c35b025851e7c79"/>
                <w:id w:val="25154246"/>
                <w:lock w:val="sdtLocked"/>
              </w:sdtPr>
              <w:sdtEndPr>
                <w:rPr>
                  <w:rFonts w:asciiTheme="minorEastAsia" w:hAnsiTheme="minorEastAsia" w:eastAsiaTheme="minorEastAsia"/>
                  <w:sz w:val="15"/>
                  <w:szCs w:val="15"/>
                </w:rPr>
              </w:sdtEndPr>
              <w:sdtContent>
                <w:tc>
                  <w:tcPr>
                    <w:tcW w:w="567" w:type="dxa"/>
                    <w:tcBorders>
                      <w:top w:val="single" w:color="auto" w:sz="4" w:space="0"/>
                      <w:left w:val="single" w:color="auto" w:sz="4" w:space="0"/>
                    </w:tcBorders>
                    <w:vAlign w:val="center"/>
                  </w:tcPr>
                  <w:p>
                    <w:pPr>
                      <w:pStyle w:val="76"/>
                      <w:adjustRightInd w:val="0"/>
                      <w:snapToGrid w:val="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其他</w:t>
                    </w:r>
                  </w:p>
                </w:tc>
              </w:sdtContent>
            </w:sdt>
            <w:tc>
              <w:tcPr>
                <w:tcW w:w="1134" w:type="dxa"/>
                <w:vMerge w:val="continue"/>
              </w:tcPr>
              <w:p>
                <w:pPr>
                  <w:pStyle w:val="76"/>
                  <w:adjustRightInd w:val="0"/>
                  <w:snapToGrid w:val="0"/>
                  <w:jc w:val="center"/>
                  <w:rPr>
                    <w:rFonts w:asciiTheme="minorEastAsia" w:hAnsiTheme="minorEastAsia" w:eastAsiaTheme="minorEastAsia"/>
                    <w:sz w:val="15"/>
                    <w:szCs w:val="15"/>
                  </w:rPr>
                </w:pPr>
              </w:p>
            </w:tc>
            <w:tc>
              <w:tcPr>
                <w:tcW w:w="708" w:type="dxa"/>
                <w:vMerge w:val="continue"/>
              </w:tcPr>
              <w:p>
                <w:pPr>
                  <w:pStyle w:val="76"/>
                  <w:adjustRightInd w:val="0"/>
                  <w:snapToGrid w:val="0"/>
                  <w:jc w:val="center"/>
                  <w:rPr>
                    <w:rFonts w:asciiTheme="minorEastAsia" w:hAnsiTheme="minorEastAsia" w:eastAsiaTheme="minorEastAsia"/>
                    <w:sz w:val="15"/>
                    <w:szCs w:val="15"/>
                  </w:rPr>
                </w:pPr>
              </w:p>
            </w:tc>
            <w:tc>
              <w:tcPr>
                <w:tcW w:w="709" w:type="dxa"/>
                <w:vMerge w:val="continue"/>
              </w:tcPr>
              <w:p>
                <w:pPr>
                  <w:pStyle w:val="76"/>
                  <w:jc w:val="center"/>
                  <w:rPr>
                    <w:rFonts w:asciiTheme="minorEastAsia" w:hAnsiTheme="minorEastAsia" w:eastAsiaTheme="minorEastAsia"/>
                    <w:sz w:val="15"/>
                    <w:szCs w:val="15"/>
                  </w:rPr>
                </w:pPr>
              </w:p>
            </w:tc>
            <w:tc>
              <w:tcPr>
                <w:tcW w:w="1276" w:type="dxa"/>
                <w:vMerge w:val="continue"/>
              </w:tcPr>
              <w:p>
                <w:pPr>
                  <w:pStyle w:val="76"/>
                  <w:adjustRightInd w:val="0"/>
                  <w:snapToGrid w:val="0"/>
                  <w:jc w:val="center"/>
                  <w:rPr>
                    <w:rFonts w:asciiTheme="minorEastAsia" w:hAnsiTheme="minorEastAsia" w:eastAsiaTheme="minorEastAsia"/>
                    <w:sz w:val="15"/>
                    <w:szCs w:val="15"/>
                  </w:rPr>
                </w:pPr>
              </w:p>
            </w:tc>
            <w:tc>
              <w:tcPr>
                <w:tcW w:w="1134" w:type="dxa"/>
                <w:vMerge w:val="continue"/>
              </w:tcPr>
              <w:p>
                <w:pPr>
                  <w:pStyle w:val="76"/>
                  <w:adjustRightInd w:val="0"/>
                  <w:snapToGrid w:val="0"/>
                  <w:jc w:val="center"/>
                  <w:rPr>
                    <w:rFonts w:asciiTheme="minorEastAsia" w:hAnsiTheme="minorEastAsia" w:eastAsiaTheme="minorEastAsia"/>
                    <w:sz w:val="15"/>
                    <w:szCs w:val="15"/>
                  </w:rPr>
                </w:pPr>
              </w:p>
            </w:tc>
            <w:tc>
              <w:tcPr>
                <w:tcW w:w="1276" w:type="dxa"/>
                <w:vMerge w:val="continue"/>
              </w:tcPr>
              <w:p>
                <w:pPr>
                  <w:pStyle w:val="76"/>
                  <w:adjustRightInd w:val="0"/>
                  <w:snapToGrid w:val="0"/>
                  <w:jc w:val="center"/>
                  <w:rPr>
                    <w:rFonts w:asciiTheme="minorEastAsia" w:hAnsiTheme="minorEastAsia" w:eastAsiaTheme="minorEastAsia"/>
                    <w:sz w:val="15"/>
                    <w:szCs w:val="15"/>
                  </w:rPr>
                </w:pPr>
              </w:p>
            </w:tc>
            <w:tc>
              <w:tcPr>
                <w:tcW w:w="1275" w:type="dxa"/>
                <w:vMerge w:val="continue"/>
              </w:tcPr>
              <w:p>
                <w:pPr>
                  <w:pStyle w:val="76"/>
                  <w:adjustRightInd w:val="0"/>
                  <w:snapToGrid w:val="0"/>
                  <w:jc w:val="center"/>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8f47e82dfc864d0c9f48cbd68392c8f5"/>
                <w:id w:val="25154247"/>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一、上年</w:t>
                    </w:r>
                    <w:r>
                      <w:rPr>
                        <w:rFonts w:hint="eastAsia" w:asciiTheme="minorEastAsia" w:hAnsiTheme="minorEastAsia" w:eastAsiaTheme="minorEastAsia"/>
                        <w:sz w:val="15"/>
                        <w:szCs w:val="15"/>
                      </w:rPr>
                      <w:t>期</w:t>
                    </w:r>
                    <w:r>
                      <w:rPr>
                        <w:rFonts w:asciiTheme="minorEastAsia" w:hAnsiTheme="minorEastAsia" w:eastAsiaTheme="minorEastAsia"/>
                        <w:sz w:val="15"/>
                        <w:szCs w:val="15"/>
                      </w:rPr>
                      <w:t>末余额</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1134" w:type="dxa"/>
                <w:tcBorders>
                  <w:left w:val="single" w:color="auto" w:sz="4" w:space="0"/>
                </w:tcBorders>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208,436,169.08</w:t>
                </w: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6,103,133.51</w:t>
                </w:r>
              </w:p>
            </w:tc>
            <w:tc>
              <w:tcPr>
                <w:tcW w:w="1134"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972,441,693.18</w:t>
                </w: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885,130,382.22</w:t>
                </w: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c275d568d14a4ab6a88872b762912ee1"/>
                <w:id w:val="25154248"/>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加：会计政策变更</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1134" w:type="dxa"/>
                <w:tcBorders>
                  <w:left w:val="single" w:color="auto" w:sz="4" w:space="0"/>
                </w:tcBorders>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49498becfa2649919271d4f05b9e39a3"/>
                <w:id w:val="25154249"/>
                <w:lock w:val="sdtLocked"/>
              </w:sdtPr>
              <w:sdtEndPr>
                <w:rPr>
                  <w:rFonts w:asciiTheme="minorEastAsia" w:hAnsiTheme="minorEastAsia" w:eastAsiaTheme="minorEastAsia"/>
                  <w:sz w:val="15"/>
                  <w:szCs w:val="15"/>
                </w:rPr>
              </w:sdtEndPr>
              <w:sdtContent>
                <w:tc>
                  <w:tcPr>
                    <w:tcW w:w="3827" w:type="dxa"/>
                  </w:tcPr>
                  <w:p>
                    <w:pPr>
                      <w:pStyle w:val="76"/>
                      <w:ind w:firstLine="300" w:firstLineChars="200"/>
                      <w:rPr>
                        <w:rFonts w:asciiTheme="minorEastAsia" w:hAnsiTheme="minorEastAsia" w:eastAsiaTheme="minorEastAsia"/>
                        <w:sz w:val="15"/>
                        <w:szCs w:val="15"/>
                      </w:rPr>
                    </w:pPr>
                    <w:r>
                      <w:rPr>
                        <w:rFonts w:asciiTheme="minorEastAsia" w:hAnsiTheme="minorEastAsia" w:eastAsiaTheme="minorEastAsia"/>
                        <w:sz w:val="15"/>
                        <w:szCs w:val="15"/>
                      </w:rPr>
                      <w:t>前期差错更正</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1134" w:type="dxa"/>
                <w:tcBorders>
                  <w:left w:val="single" w:color="auto" w:sz="4" w:space="0"/>
                </w:tcBorders>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300b39847af14cb3b9c0623ce2526c96"/>
                <w:id w:val="25154250"/>
                <w:lock w:val="sdtLocked"/>
              </w:sdtPr>
              <w:sdtEndPr>
                <w:rPr>
                  <w:rFonts w:asciiTheme="minorEastAsia" w:hAnsiTheme="minorEastAsia" w:eastAsiaTheme="minorEastAsia"/>
                  <w:sz w:val="15"/>
                  <w:szCs w:val="15"/>
                </w:rPr>
              </w:sdtEndPr>
              <w:sdtContent>
                <w:tc>
                  <w:tcPr>
                    <w:tcW w:w="3827" w:type="dxa"/>
                  </w:tcPr>
                  <w:p>
                    <w:pPr>
                      <w:pStyle w:val="76"/>
                      <w:ind w:firstLine="300" w:firstLineChars="200"/>
                      <w:rPr>
                        <w:rFonts w:asciiTheme="minorEastAsia" w:hAnsiTheme="minorEastAsia" w:eastAsiaTheme="minorEastAsia"/>
                        <w:sz w:val="15"/>
                        <w:szCs w:val="15"/>
                      </w:rPr>
                    </w:pPr>
                    <w:r>
                      <w:rPr>
                        <w:rFonts w:hint="eastAsia" w:asciiTheme="minorEastAsia" w:hAnsiTheme="minorEastAsia" w:eastAsiaTheme="minorEastAsia"/>
                        <w:sz w:val="15"/>
                        <w:szCs w:val="15"/>
                      </w:rPr>
                      <w:t>其他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1134" w:type="dxa"/>
                <w:tcBorders>
                  <w:left w:val="single" w:color="auto" w:sz="4" w:space="0"/>
                </w:tcBorders>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396faaa7e56540848ac1c5757eefa5fc"/>
                <w:id w:val="25154251"/>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二、本年</w:t>
                    </w:r>
                    <w:r>
                      <w:rPr>
                        <w:rFonts w:hint="eastAsia" w:asciiTheme="minorEastAsia" w:hAnsiTheme="minorEastAsia" w:eastAsiaTheme="minorEastAsia"/>
                        <w:sz w:val="15"/>
                        <w:szCs w:val="15"/>
                      </w:rPr>
                      <w:t>期</w:t>
                    </w:r>
                    <w:r>
                      <w:rPr>
                        <w:rFonts w:asciiTheme="minorEastAsia" w:hAnsiTheme="minorEastAsia" w:eastAsiaTheme="minorEastAsia"/>
                        <w:sz w:val="15"/>
                        <w:szCs w:val="15"/>
                      </w:rPr>
                      <w:t>初余额</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1134" w:type="dxa"/>
                <w:tcBorders>
                  <w:left w:val="single" w:color="auto" w:sz="4" w:space="0"/>
                </w:tcBorders>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208,436,169.08</w:t>
                </w: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6,103,133.51</w:t>
                </w:r>
              </w:p>
            </w:tc>
            <w:tc>
              <w:tcPr>
                <w:tcW w:w="1134"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972,441,693.18</w:t>
                </w: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885,130,382.22</w:t>
                </w: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3f48dfecd8744adf8120b478ae39e28a"/>
                <w:id w:val="25154252"/>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三、本</w:t>
                    </w:r>
                    <w:r>
                      <w:rPr>
                        <w:rFonts w:hint="eastAsia" w:asciiTheme="minorEastAsia" w:hAnsiTheme="minorEastAsia" w:eastAsiaTheme="minorEastAsia"/>
                        <w:sz w:val="15"/>
                        <w:szCs w:val="15"/>
                      </w:rPr>
                      <w:t>期</w:t>
                    </w:r>
                    <w:r>
                      <w:rPr>
                        <w:rFonts w:asciiTheme="minorEastAsia" w:hAnsiTheme="minorEastAsia" w:eastAsiaTheme="minorEastAsia"/>
                        <w:sz w:val="15"/>
                        <w:szCs w:val="15"/>
                      </w:rPr>
                      <w:t>增减变动金额（减少以“－”号填列）</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-732,218.52</w:t>
                </w:r>
              </w:p>
            </w:tc>
            <w:tc>
              <w:tcPr>
                <w:tcW w:w="1134"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0.00</w:t>
                </w: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395,609,973.68</w:t>
                </w: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394,877,755.16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7ef6411efdad4d36a64b55fb81323c9e"/>
                <w:id w:val="25154253"/>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（一）综合收益总额</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395,609,973.68</w:t>
                </w: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f96ce9caebc54c56a7e075c871383d00"/>
                <w:id w:val="25154254"/>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w:t>
                    </w:r>
                    <w:r>
                      <w:rPr>
                        <w:rFonts w:hint="eastAsia" w:asciiTheme="minorEastAsia" w:hAnsiTheme="minorEastAsia" w:eastAsiaTheme="minorEastAsia"/>
                        <w:sz w:val="15"/>
                        <w:szCs w:val="15"/>
                      </w:rPr>
                      <w:t>二</w:t>
                    </w:r>
                    <w:r>
                      <w:rPr>
                        <w:rFonts w:asciiTheme="minorEastAsia" w:hAnsiTheme="minorEastAsia" w:eastAsiaTheme="minorEastAsia"/>
                        <w:sz w:val="15"/>
                        <w:szCs w:val="15"/>
                      </w:rPr>
                      <w:t>）所有者投入和减少资本</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13b396f0ba434696a096161d832d5db1"/>
                <w:id w:val="25154255"/>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1．股东投入的普通股</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0bd6c717d4ae4beebaa72cbb01437345"/>
                <w:id w:val="25154256"/>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2．其他权益工具持有者投入资本</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1f336ddb776b455091a82f3a648e0a3c"/>
                <w:id w:val="25154257"/>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3</w:t>
                    </w:r>
                    <w:r>
                      <w:rPr>
                        <w:rFonts w:asciiTheme="minorEastAsia" w:hAnsiTheme="minorEastAsia" w:eastAsiaTheme="minorEastAsia"/>
                        <w:sz w:val="15"/>
                        <w:szCs w:val="15"/>
                      </w:rPr>
                      <w:t>．股份支付计入所有者权益的金额</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7fd6b9696d714fafa091c7106d2b43d8"/>
                <w:id w:val="25154258"/>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4</w:t>
                    </w:r>
                    <w:r>
                      <w:rPr>
                        <w:rFonts w:asciiTheme="minorEastAsia" w:hAnsiTheme="minorEastAsia" w:eastAsiaTheme="minorEastAsia"/>
                        <w:sz w:val="15"/>
                        <w:szCs w:val="15"/>
                      </w:rPr>
                      <w:t>．其他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12abb85659b349dbb80deb9568f4aec6"/>
                <w:id w:val="25154259"/>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w:t>
                    </w:r>
                    <w:r>
                      <w:rPr>
                        <w:rFonts w:hint="eastAsia" w:asciiTheme="minorEastAsia" w:hAnsiTheme="minorEastAsia" w:eastAsiaTheme="minorEastAsia"/>
                        <w:sz w:val="15"/>
                        <w:szCs w:val="15"/>
                      </w:rPr>
                      <w:t>三</w:t>
                    </w:r>
                    <w:r>
                      <w:rPr>
                        <w:rFonts w:asciiTheme="minorEastAsia" w:hAnsiTheme="minorEastAsia" w:eastAsiaTheme="minorEastAsia"/>
                        <w:sz w:val="15"/>
                        <w:szCs w:val="15"/>
                      </w:rPr>
                      <w:t>）利润分配</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43d8a3b91ec14a22a30b0399efdad114"/>
                <w:id w:val="25154260"/>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1．提取盈余公积</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e2199fef597d45de8568a301d2a199cb"/>
                <w:id w:val="25154261"/>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2</w:t>
                    </w:r>
                    <w:r>
                      <w:rPr>
                        <w:rFonts w:asciiTheme="minorEastAsia" w:hAnsiTheme="minorEastAsia" w:eastAsiaTheme="minorEastAsia"/>
                        <w:sz w:val="15"/>
                        <w:szCs w:val="15"/>
                      </w:rPr>
                      <w:t>．对所有者（或股东）的分配</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613e60c3e1974eff989c74ba804569a0"/>
                <w:id w:val="25154262"/>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3</w:t>
                    </w:r>
                    <w:r>
                      <w:rPr>
                        <w:rFonts w:asciiTheme="minorEastAsia" w:hAnsiTheme="minorEastAsia" w:eastAsiaTheme="minorEastAsia"/>
                        <w:sz w:val="15"/>
                        <w:szCs w:val="15"/>
                      </w:rPr>
                      <w:t>．其他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9ff52c0d43dd4c518465b91784f5a15c"/>
                <w:id w:val="25154263"/>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w:t>
                    </w:r>
                    <w:r>
                      <w:rPr>
                        <w:rFonts w:hint="eastAsia" w:asciiTheme="minorEastAsia" w:hAnsiTheme="minorEastAsia" w:eastAsiaTheme="minorEastAsia"/>
                        <w:sz w:val="15"/>
                        <w:szCs w:val="15"/>
                      </w:rPr>
                      <w:t>四</w:t>
                    </w:r>
                    <w:r>
                      <w:rPr>
                        <w:rFonts w:asciiTheme="minorEastAsia" w:hAnsiTheme="minorEastAsia" w:eastAsiaTheme="minorEastAsia"/>
                        <w:sz w:val="15"/>
                        <w:szCs w:val="15"/>
                      </w:rPr>
                      <w:t>）所有者权益内部结转</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182bc6d8fc1647f69f7fad1326b40685"/>
                <w:id w:val="25154264"/>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1．资本公积转增资本（或股本）</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9d7904fbaed442b3ac74d2ecaf02780b"/>
                <w:id w:val="25154265"/>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2．盈余公积转增资本（或股本）</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eb80d3d363c44558a0208c7d98bc61b5"/>
                <w:id w:val="25154266"/>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3．盈余公积弥补亏损</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75f441ae4c9a46b28e9e7524f8d30dc9"/>
                <w:id w:val="25154267"/>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4．其他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4cacc8fd5aaa4e3a9ad34447c9c6e716"/>
                <w:id w:val="25154268"/>
                <w:lock w:val="sdtLocked"/>
              </w:sdtPr>
              <w:sdtEndPr>
                <w:rPr>
                  <w:rFonts w:asciiTheme="minorEastAsia" w:hAnsiTheme="minorEastAsia" w:eastAsiaTheme="minorEastAsia"/>
                  <w:sz w:val="15"/>
                  <w:szCs w:val="15"/>
                </w:rPr>
              </w:sdtEndPr>
              <w:sdtContent>
                <w:tc>
                  <w:tcPr>
                    <w:tcW w:w="3827" w:type="dxa"/>
                    <w:vAlign w:val="center"/>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 （五）专项储备</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-732,218.52</w:t>
                </w: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-732,218.52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e228fe6aab0d4cc2b0582d3f8ba88940"/>
                <w:id w:val="25154269"/>
                <w:lock w:val="sdtLocked"/>
              </w:sdtPr>
              <w:sdtEndPr>
                <w:rPr>
                  <w:rFonts w:asciiTheme="minorEastAsia" w:hAnsiTheme="minorEastAsia" w:eastAsiaTheme="minorEastAsia"/>
                  <w:sz w:val="15"/>
                  <w:szCs w:val="15"/>
                </w:rPr>
              </w:sdtEndPr>
              <w:sdtContent>
                <w:tc>
                  <w:tcPr>
                    <w:tcW w:w="3827" w:type="dxa"/>
                    <w:vAlign w:val="center"/>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1．本期提取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13,740,000.00</w:t>
                </w: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13,740,000.00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7dc1593851b04613b42623d97213e949"/>
                <w:id w:val="25154270"/>
                <w:lock w:val="sdtLocked"/>
              </w:sdtPr>
              <w:sdtEndPr>
                <w:rPr>
                  <w:rFonts w:asciiTheme="minorEastAsia" w:hAnsiTheme="minorEastAsia" w:eastAsiaTheme="minorEastAsia"/>
                  <w:sz w:val="15"/>
                  <w:szCs w:val="15"/>
                </w:rPr>
              </w:sdtEndPr>
              <w:sdtContent>
                <w:tc>
                  <w:tcPr>
                    <w:tcW w:w="3827" w:type="dxa"/>
                    <w:vAlign w:val="center"/>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2．本期使用</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14,472,218.52</w:t>
                </w: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14,472,218.52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af92c0d556f64fdda7174c5cc5df3c0c"/>
                <w:id w:val="25154271"/>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hint="eastAsia" w:asciiTheme="minorEastAsia" w:hAnsiTheme="minorEastAsia" w:eastAsiaTheme="minorEastAsia"/>
                        <w:sz w:val="15"/>
                        <w:szCs w:val="15"/>
                      </w:rPr>
                      <w:t>（六）其他</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p>
            </w:tc>
            <w:tc>
              <w:tcPr>
                <w:tcW w:w="1275" w:type="dxa"/>
                <w:vAlign w:val="center"/>
              </w:tcPr>
              <w:p>
                <w:pPr>
                  <w:pStyle w:val="76"/>
                  <w:jc w:val="right"/>
                  <w:rPr>
                    <w:rFonts w:ascii="Arial Narrow" w:hAnsi="Arial Narrow"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rFonts w:asciiTheme="minorEastAsia" w:hAnsiTheme="minorEastAsia" w:eastAsiaTheme="minorEastAsia"/>
                  <w:sz w:val="15"/>
                  <w:szCs w:val="15"/>
                </w:rPr>
                <w:tag w:val="_PLD_c61a5c262d964dd3910a74f644496c3b"/>
                <w:id w:val="25154272"/>
                <w:lock w:val="sdtLocked"/>
              </w:sdtPr>
              <w:sdtEndPr>
                <w:rPr>
                  <w:rFonts w:asciiTheme="minorEastAsia" w:hAnsiTheme="minorEastAsia" w:eastAsiaTheme="minorEastAsia"/>
                  <w:sz w:val="15"/>
                  <w:szCs w:val="15"/>
                </w:rPr>
              </w:sdtEndPr>
              <w:sdtContent>
                <w:tc>
                  <w:tcPr>
                    <w:tcW w:w="3827" w:type="dxa"/>
                  </w:tcPr>
                  <w:p>
                    <w:pPr>
                      <w:pStyle w:val="76"/>
                      <w:rPr>
                        <w:rFonts w:asciiTheme="minorEastAsia" w:hAnsiTheme="minorEastAsia" w:eastAsiaTheme="minorEastAsia"/>
                        <w:sz w:val="15"/>
                        <w:szCs w:val="15"/>
                      </w:rPr>
                    </w:pPr>
                    <w:r>
                      <w:rPr>
                        <w:rFonts w:asciiTheme="minorEastAsia" w:hAnsiTheme="minorEastAsia" w:eastAsiaTheme="minorEastAsia"/>
                        <w:sz w:val="15"/>
                        <w:szCs w:val="15"/>
                      </w:rPr>
                      <w:t>四、本期期末余额</w:t>
                    </w:r>
                  </w:p>
                </w:tc>
              </w:sdtContent>
            </w:sdt>
            <w:tc>
              <w:tcPr>
                <w:tcW w:w="1276" w:type="dxa"/>
                <w:tcBorders>
                  <w:right w:val="single" w:color="auto" w:sz="4" w:space="0"/>
                </w:tcBorders>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2,562,793,200.00</w:t>
                </w:r>
              </w:p>
            </w:tc>
            <w:tc>
              <w:tcPr>
                <w:tcW w:w="567"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709" w:type="dxa"/>
                <w:tcBorders>
                  <w:left w:val="single" w:color="auto" w:sz="4" w:space="0"/>
                  <w:right w:val="single" w:color="auto" w:sz="4" w:space="0"/>
                </w:tcBorders>
                <w:vAlign w:val="center"/>
              </w:tcPr>
              <w:p>
                <w:pPr>
                  <w:pStyle w:val="76"/>
                  <w:jc w:val="right"/>
                  <w:rPr>
                    <w:rFonts w:ascii="Arial Narrow" w:hAnsi="Arial Narrow" w:eastAsiaTheme="minorEastAsia"/>
                    <w:sz w:val="15"/>
                    <w:szCs w:val="15"/>
                  </w:rPr>
                </w:pPr>
              </w:p>
            </w:tc>
            <w:tc>
              <w:tcPr>
                <w:tcW w:w="567" w:type="dxa"/>
                <w:tcBorders>
                  <w:left w:val="single" w:color="auto" w:sz="4" w:space="0"/>
                </w:tcBorders>
                <w:vAlign w:val="center"/>
              </w:tcPr>
              <w:p>
                <w:pPr>
                  <w:pStyle w:val="76"/>
                  <w:jc w:val="right"/>
                  <w:rPr>
                    <w:rFonts w:ascii="Arial Narrow" w:hAnsi="Arial Narrow" w:eastAsiaTheme="minorEastAsia"/>
                    <w:sz w:val="15"/>
                    <w:szCs w:val="15"/>
                  </w:rPr>
                </w:pPr>
              </w:p>
            </w:tc>
            <w:tc>
              <w:tcPr>
                <w:tcW w:w="1134"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208,436,169.08</w:t>
                </w:r>
              </w:p>
            </w:tc>
            <w:tc>
              <w:tcPr>
                <w:tcW w:w="708" w:type="dxa"/>
                <w:vAlign w:val="center"/>
              </w:tcPr>
              <w:p>
                <w:pPr>
                  <w:pStyle w:val="76"/>
                  <w:jc w:val="right"/>
                  <w:rPr>
                    <w:rFonts w:ascii="Arial Narrow" w:hAnsi="Arial Narrow" w:eastAsiaTheme="minorEastAsia"/>
                    <w:sz w:val="15"/>
                    <w:szCs w:val="15"/>
                  </w:rPr>
                </w:pPr>
              </w:p>
            </w:tc>
            <w:tc>
              <w:tcPr>
                <w:tcW w:w="709" w:type="dxa"/>
                <w:vAlign w:val="center"/>
              </w:tcPr>
              <w:p>
                <w:pPr>
                  <w:pStyle w:val="76"/>
                  <w:jc w:val="right"/>
                  <w:rPr>
                    <w:rFonts w:ascii="Arial Narrow" w:hAnsi="Arial Narrow" w:eastAsiaTheme="minorEastAsia"/>
                    <w:sz w:val="15"/>
                    <w:szCs w:val="15"/>
                  </w:rPr>
                </w:pP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5,370,914.99</w:t>
                </w:r>
              </w:p>
            </w:tc>
            <w:tc>
              <w:tcPr>
                <w:tcW w:w="1134"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972,441,693.18</w:t>
                </w:r>
              </w:p>
            </w:tc>
            <w:tc>
              <w:tcPr>
                <w:tcW w:w="1276"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1,280,740,355.90</w:t>
                </w:r>
              </w:p>
            </w:tc>
            <w:tc>
              <w:tcPr>
                <w:tcW w:w="1275" w:type="dxa"/>
                <w:vAlign w:val="center"/>
              </w:tcPr>
              <w:p>
                <w:pPr>
                  <w:pStyle w:val="76"/>
                  <w:jc w:val="right"/>
                  <w:rPr>
                    <w:rFonts w:ascii="Arial Narrow" w:hAnsi="Arial Narrow" w:eastAsiaTheme="minorEastAsia"/>
                    <w:sz w:val="15"/>
                    <w:szCs w:val="15"/>
                  </w:rPr>
                </w:pPr>
                <w:r>
                  <w:rPr>
                    <w:rFonts w:ascii="Arial Narrow" w:hAnsi="Arial Narrow" w:eastAsiaTheme="minorEastAsia"/>
                    <w:sz w:val="15"/>
                    <w:szCs w:val="15"/>
                  </w:rPr>
                  <w:t>5,029,782,333.15</w:t>
                </w:r>
              </w:p>
            </w:tc>
          </w:tr>
        </w:tbl>
        <w:p>
          <w:pPr>
            <w:pStyle w:val="76"/>
          </w:pPr>
        </w:p>
        <w:p>
          <w:pPr>
            <w:pStyle w:val="76"/>
            <w:snapToGrid w:val="0"/>
            <w:spacing w:line="240" w:lineRule="atLeast"/>
            <w:ind w:firstLine="525" w:firstLineChars="250"/>
            <w:rPr>
              <w:szCs w:val="21"/>
            </w:rPr>
          </w:pPr>
          <w:r>
            <w:rPr>
              <w:szCs w:val="21"/>
            </w:rPr>
            <w:t>法定代表人</w:t>
          </w:r>
          <w:r>
            <w:rPr>
              <w:rFonts w:hint="eastAsia"/>
              <w:szCs w:val="21"/>
            </w:rPr>
            <w:t>：</w:t>
          </w:r>
          <w:sdt>
            <w:sdtPr>
              <w:rPr>
                <w:rFonts w:hint="eastAsia"/>
                <w:szCs w:val="21"/>
              </w:rPr>
              <w:alias w:val="公司法定代表人"/>
              <w:tag w:val="_GBC_a003c6ca7ced435f875f75f166523520"/>
              <w:id w:val="25154273"/>
              <w:lock w:val="sdtLocked"/>
              <w15:dataBinding w:prefixMappings="xmlns:clcid-cgi='clcid-cgi'" w:xpath="/*/clcid-cgi:GongSiFaDingDaiBiaoRen[not(@periodRef)]" w:storeItemID="{89EBAB94-44A0-46A2-B712-30D997D04A6D}"/>
              <w:text/>
            </w:sdtPr>
            <w:sdtEndPr>
              <w:rPr>
                <w:rFonts w:hint="eastAsia"/>
                <w:szCs w:val="21"/>
              </w:rPr>
            </w:sdtEndPr>
            <w:sdtContent>
              <w:r>
                <w:rPr>
                  <w:rFonts w:hint="eastAsia"/>
                  <w:szCs w:val="21"/>
                </w:rPr>
                <w:t>陈有升</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b01d1da334f4e8c9bd9fc6f62c15e98"/>
              <w:id w:val="25154274"/>
              <w:lock w:val="sdtLocked"/>
              <w15:dataBinding w:prefixMappings="xmlns:clcid-mr='clcid-mr'" w:xpath="/*/clcid-mr:ZhuGuanKuaiJiGongZuoFuZeRenXingMing[not(@periodRef)]" w:storeItemID="{89EBAB94-44A0-46A2-B712-30D997D04A6D}"/>
              <w:text/>
            </w:sdtPr>
            <w:sdtEndPr>
              <w:rPr>
                <w:rFonts w:hint="eastAsia"/>
                <w:szCs w:val="21"/>
              </w:rPr>
            </w:sdtEndPr>
            <w:sdtContent>
              <w:r>
                <w:rPr>
                  <w:rFonts w:hint="eastAsia"/>
                  <w:szCs w:val="21"/>
                </w:rPr>
                <w:t>王海英</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4fecf9c6979f43bdb70043d3f9c804d2"/>
              <w:id w:val="25154275"/>
              <w:lock w:val="sdtLocked"/>
              <w15:dataBinding w:prefixMappings="xmlns:clcid-mr='clcid-mr'" w:xpath="/*/clcid-mr:KuaiJiJiGouFuZeRenXingMing[not(@periodRef)]" w:storeItemID="{89EBAB94-44A0-46A2-B712-30D997D04A6D}"/>
              <w:text/>
            </w:sdtPr>
            <w:sdtEndPr>
              <w:rPr>
                <w:rFonts w:hint="eastAsia"/>
                <w:szCs w:val="21"/>
              </w:rPr>
            </w:sdtEndPr>
            <w:sdtContent>
              <w:r>
                <w:rPr>
                  <w:rFonts w:hint="eastAsia"/>
                  <w:szCs w:val="21"/>
                </w:rPr>
                <w:t>杜忠军</w:t>
              </w:r>
            </w:sdtContent>
          </w:sdt>
        </w:p>
        <w:p>
          <w:pPr>
            <w:pStyle w:val="76"/>
            <w:snapToGrid w:val="0"/>
            <w:spacing w:line="240" w:lineRule="atLeast"/>
            <w:rPr>
              <w:szCs w:val="21"/>
            </w:rPr>
          </w:pPr>
        </w:p>
      </w:sdtContent>
    </w:sdt>
    <w:p>
      <w:pPr>
        <w:pStyle w:val="76"/>
        <w:snapToGrid w:val="0"/>
        <w:spacing w:line="240" w:lineRule="atLeast"/>
        <w:rPr>
          <w:szCs w:val="21"/>
        </w:rPr>
        <w:sectPr>
          <w:pgSz w:w="16838" w:h="11906" w:orient="landscape"/>
          <w:pgMar w:top="1797" w:right="1525" w:bottom="1276" w:left="1440" w:header="851" w:footer="992" w:gutter="0"/>
          <w:cols w:space="425" w:num="1"/>
          <w:docGrid w:type="lines" w:linePitch="312" w:charSpace="0"/>
        </w:sectPr>
      </w:pPr>
    </w:p>
    <w:sdt>
      <w:sdtPr>
        <w:rPr>
          <w:rFonts w:ascii="宋体" w:hAnsi="宋体" w:cs="宋体"/>
          <w:b w:val="0"/>
          <w:bCs w:val="0"/>
          <w:kern w:val="0"/>
          <w:szCs w:val="24"/>
        </w:rPr>
        <w:alias w:val="模块:公司基本情况"/>
        <w:tag w:val="_GBC_c49d72d4b04e4ead97addb731e9b6458"/>
        <w:id w:val="25154280"/>
        <w:lock w:val="sdtLocked"/>
        <w:placeholder>
          <w:docPart w:val="GBC22222222222222222222222222222"/>
        </w:placeholder>
      </w:sdtPr>
      <w:sdtEndPr>
        <w:rPr>
          <w:rFonts w:hint="eastAsia" w:ascii="宋体" w:hAnsi="宋体" w:cs="Times New Roman"/>
          <w:b w:val="0"/>
          <w:bCs w:val="0"/>
          <w:kern w:val="2"/>
          <w:szCs w:val="24"/>
        </w:rPr>
      </w:sdtEndPr>
      <w:sdtContent>
        <w:p>
          <w:pPr>
            <w:pStyle w:val="78"/>
            <w:numPr>
              <w:ilvl w:val="0"/>
              <w:numId w:val="34"/>
            </w:numPr>
            <w:rPr>
              <w:rFonts w:ascii="宋体" w:hAnsi="宋体"/>
            </w:rPr>
          </w:pPr>
          <w:r>
            <w:rPr>
              <w:rFonts w:ascii="宋体" w:hAnsi="宋体"/>
            </w:rPr>
            <w:t>公司基本情况</w:t>
          </w:r>
        </w:p>
        <w:p>
          <w:pPr>
            <w:pStyle w:val="79"/>
            <w:numPr>
              <w:ilvl w:val="0"/>
              <w:numId w:val="35"/>
            </w:numPr>
          </w:pPr>
          <w:r>
            <w:rPr>
              <w:rFonts w:hint="eastAsia"/>
            </w:rPr>
            <w:t>公司概况</w:t>
          </w:r>
        </w:p>
        <w:sdt>
          <w:sdtPr>
            <w:alias w:val="是否适用：公司概况[双击切换]"/>
            <w:tag w:val="_GBC_2e5fe5b3ed964f468989da49e4242039"/>
            <w:id w:val="2515427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公司概况"/>
            <w:tag w:val="_GBC_dfec127af3a7441dade8cb0f67119e66"/>
            <w:id w:val="25154278"/>
            <w:lock w:val="sdtLocked"/>
            <w:placeholder>
              <w:docPart w:val="GBC22222222222222222222222222222"/>
            </w:placeholder>
          </w:sdtPr>
          <w:sdtEndPr>
            <w:rPr>
              <w:szCs w:val="21"/>
            </w:rPr>
          </w:sdtEndPr>
          <w:sdtContent>
            <w:p>
              <w:pPr>
                <w:pStyle w:val="76"/>
                <w:rPr>
                  <w:szCs w:val="21"/>
                </w:rPr>
              </w:pPr>
              <w:r>
                <w:rPr>
                  <w:rFonts w:hint="eastAsia"/>
                  <w:szCs w:val="21"/>
                </w:rPr>
                <w:t>柳州钢铁股份有限公司</w:t>
              </w:r>
              <w:r>
                <w:rPr>
                  <w:szCs w:val="21"/>
                </w:rPr>
                <w:t>(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pPr>
                <w:pStyle w:val="76"/>
                <w:rPr>
                  <w:szCs w:val="21"/>
                </w:rPr>
              </w:pPr>
            </w:p>
            <w:p>
              <w:pPr>
                <w:pStyle w:val="76"/>
                <w:rPr>
                  <w:szCs w:val="21"/>
                </w:rPr>
              </w:pPr>
              <w:r>
                <w:rPr>
                  <w:rFonts w:hint="eastAsia"/>
                  <w:szCs w:val="21"/>
                </w:rPr>
                <w:t>经中国证券监督管理委员会证监发行字</w:t>
              </w:r>
              <w:r>
                <w:rPr>
                  <w:szCs w:val="21"/>
                </w:rPr>
                <w:t>[2007]21号文核准，本公司于2007年2月5日至6日采用网下配售和网上发行相结合方式向社会公开发行人民币普通股（A股）10,700万股，每股面值1元，每股发行价格10.06元。发行后本公司注册资本从60,488.70万元增至71,188.70万元。</w:t>
              </w:r>
            </w:p>
            <w:p>
              <w:pPr>
                <w:pStyle w:val="76"/>
                <w:rPr>
                  <w:szCs w:val="21"/>
                </w:rPr>
              </w:pPr>
            </w:p>
            <w:p>
              <w:pPr>
                <w:pStyle w:val="76"/>
                <w:rPr>
                  <w:szCs w:val="21"/>
                </w:rPr>
              </w:pPr>
              <w:r>
                <w:rPr>
                  <w:rFonts w:hint="eastAsia"/>
                  <w:szCs w:val="21"/>
                </w:rPr>
                <w:t>根据本公司</w:t>
              </w:r>
              <w:r>
                <w:rPr>
                  <w:szCs w:val="21"/>
                </w:rPr>
                <w:t>2007年5月14日股东大会通过2006年度利润分配议案，以2007年2月27日公司挂牌上市后的总股本71,188.70万股为基数，每10股送10股。本次送股数量为71,188.70万股，每股面值1元，变更后公司注册资本为142,377.40万元。</w:t>
              </w:r>
            </w:p>
            <w:p>
              <w:pPr>
                <w:pStyle w:val="76"/>
                <w:rPr>
                  <w:szCs w:val="21"/>
                </w:rPr>
              </w:pPr>
            </w:p>
            <w:p>
              <w:pPr>
                <w:pStyle w:val="76"/>
                <w:rPr>
                  <w:szCs w:val="21"/>
                </w:rPr>
              </w:pPr>
              <w:r>
                <w:rPr>
                  <w:rFonts w:hint="eastAsia"/>
                  <w:szCs w:val="21"/>
                </w:rPr>
                <w:t>根据本公司</w:t>
              </w:r>
              <w:r>
                <w:rPr>
                  <w:szCs w:val="21"/>
                </w:rPr>
                <w:t>2008年5月6日股东大会通过2007年度利润分配议案，以2007年12月31日总股本142,377.40万股为基数，以公积金转增股本，每10股转增8股。本次转增113,901.92万股，每股面值1元，变更后公司注册资本为256,279.32万元。</w:t>
              </w:r>
            </w:p>
            <w:p>
              <w:pPr>
                <w:pStyle w:val="76"/>
                <w:rPr>
                  <w:szCs w:val="21"/>
                </w:rPr>
              </w:pPr>
            </w:p>
            <w:p>
              <w:pPr>
                <w:pStyle w:val="76"/>
                <w:rPr>
                  <w:szCs w:val="21"/>
                </w:rPr>
              </w:pPr>
              <w:r>
                <w:rPr>
                  <w:rFonts w:hint="eastAsia"/>
                  <w:szCs w:val="21"/>
                </w:rPr>
                <w:t>本公司建立了股东大会、董事会、监事会的法人治理结构，目前设综合管理部、策划部、证券部、财务部等部门，并设有经销公司、物资公司、金材公司、矿业公司、烧结厂、焦化厂、炼铁厂、转炉厂、中板厂、棒线厂等独立核算单位，无下属子公司。</w:t>
              </w:r>
            </w:p>
            <w:p>
              <w:pPr>
                <w:pStyle w:val="76"/>
                <w:rPr>
                  <w:szCs w:val="21"/>
                </w:rPr>
              </w:pPr>
            </w:p>
            <w:p>
              <w:pPr>
                <w:pStyle w:val="76"/>
                <w:rPr>
                  <w:szCs w:val="21"/>
                </w:rPr>
              </w:pPr>
              <w:r>
                <w:rPr>
                  <w:rFonts w:hint="eastAsia"/>
                  <w:szCs w:val="21"/>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w:t>
              </w:r>
              <w:r>
                <w:rPr>
                  <w:szCs w:val="21"/>
                </w:rPr>
                <w:t>"三来一补"业务；货物装卸、驳运；机械设备租赁；机械加工修理；金属材料代销；技术咨询服务；房屋门面出租；国内广告设计、制作、发布；货物仓储。</w:t>
              </w:r>
            </w:p>
          </w:sdtContent>
        </w:sdt>
        <w:p>
          <w:pPr>
            <w:pStyle w:val="76"/>
            <w:rPr>
              <w:szCs w:val="21"/>
            </w:rPr>
          </w:pPr>
        </w:p>
        <w:p>
          <w:pPr>
            <w:pStyle w:val="79"/>
            <w:numPr>
              <w:ilvl w:val="0"/>
              <w:numId w:val="35"/>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25154279"/>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8"/>
        <w:numPr>
          <w:ilvl w:val="0"/>
          <w:numId w:val="34"/>
        </w:numPr>
        <w:rPr>
          <w:rFonts w:ascii="宋体" w:hAnsi="宋体"/>
        </w:rPr>
      </w:pPr>
      <w:r>
        <w:rPr>
          <w:rFonts w:hint="eastAsia" w:ascii="宋体" w:hAnsi="宋体"/>
        </w:rPr>
        <w:t>财务报表的编制基础</w:t>
      </w:r>
    </w:p>
    <w:sdt>
      <w:sdtPr>
        <w:rPr>
          <w:rFonts w:cs="宋体" w:asciiTheme="minorHAnsi" w:hAnsiTheme="minorHAnsi"/>
          <w:b w:val="0"/>
          <w:bCs w:val="0"/>
          <w:kern w:val="0"/>
          <w:szCs w:val="22"/>
        </w:rPr>
        <w:alias w:val="模块:财务报表的编制基础"/>
        <w:tag w:val="_GBC_6d12949d3695402592266a78137dcfb5"/>
        <w:id w:val="25154282"/>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6"/>
            </w:numPr>
          </w:pPr>
          <w:r>
            <w:t>编制基础</w:t>
          </w:r>
        </w:p>
        <w:sdt>
          <w:sdtPr>
            <w:rPr>
              <w:rFonts w:hint="eastAsia"/>
              <w:szCs w:val="21"/>
            </w:rPr>
            <w:alias w:val="财务报表的编制基础"/>
            <w:tag w:val="_GBC_1dc2375ed7ab49628f5badf2d5006405"/>
            <w:id w:val="25154281"/>
            <w:lock w:val="sdtLocked"/>
            <w:placeholder>
              <w:docPart w:val="GBC22222222222222222222222222222"/>
            </w:placeholder>
          </w:sdtPr>
          <w:sdtEndPr>
            <w:rPr>
              <w:rFonts w:hint="eastAsia"/>
              <w:szCs w:val="21"/>
            </w:rPr>
          </w:sdtEndPr>
          <w:sdtContent>
            <w:p>
              <w:pPr>
                <w:pStyle w:val="76"/>
                <w:rPr>
                  <w:szCs w:val="21"/>
                </w:rPr>
              </w:pPr>
              <w:r>
                <w:rPr>
                  <w:szCs w:val="21"/>
                </w:rPr>
                <w:t>本公司财务报表以持续经营为编制基础。</w:t>
              </w:r>
            </w:p>
          </w:sdtContent>
        </w:sdt>
      </w:sdtContent>
    </w:sdt>
    <w:p>
      <w:pPr>
        <w:pStyle w:val="76"/>
        <w:rPr>
          <w:szCs w:val="21"/>
        </w:rPr>
      </w:pPr>
    </w:p>
    <w:sdt>
      <w:sdtPr>
        <w:rPr>
          <w:rFonts w:hint="eastAsia" w:cs="宋体" w:asciiTheme="minorHAnsi" w:hAnsiTheme="minorHAnsi"/>
          <w:b w:val="0"/>
          <w:bCs w:val="0"/>
          <w:kern w:val="0"/>
          <w:szCs w:val="22"/>
        </w:rPr>
        <w:alias w:val="模块:持续经营"/>
        <w:tag w:val="_GBC_69ae6baeacb44e8fa17b0b984abbf6ab"/>
        <w:id w:val="25154285"/>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6"/>
            </w:numPr>
          </w:pPr>
          <w:r>
            <w:rPr>
              <w:rFonts w:hint="eastAsia"/>
            </w:rPr>
            <w:t>持续经营</w:t>
          </w:r>
        </w:p>
        <w:sdt>
          <w:sdtPr>
            <w:alias w:val="是否适用：持续经营[双击切换]"/>
            <w:tag w:val="_GBC_7a7bd82392314f508ef1adfe80947192"/>
            <w:id w:val="2515428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持续经营"/>
            <w:tag w:val="_GBC_dc876c24006b428987a041949eb554f3"/>
            <w:id w:val="25154284"/>
            <w:lock w:val="sdtLocked"/>
            <w:placeholder>
              <w:docPart w:val="GBC22222222222222222222222222222"/>
            </w:placeholder>
          </w:sdtPr>
          <w:sdtEndPr>
            <w:rPr>
              <w:szCs w:val="21"/>
            </w:rPr>
          </w:sdtEndPr>
          <w:sdtContent>
            <w:p>
              <w:pPr>
                <w:pStyle w:val="76"/>
                <w:rPr>
                  <w:szCs w:val="21"/>
                </w:rPr>
              </w:pPr>
              <w:r>
                <w:rPr>
                  <w:rFonts w:hint="eastAsia"/>
                  <w:szCs w:val="21"/>
                </w:rPr>
                <w:t>本公司自报告期末至少</w:t>
              </w:r>
              <w:r>
                <w:rPr>
                  <w:szCs w:val="21"/>
                </w:rPr>
                <w:t>12个月内具有持续经营能力，无影响持续经营能力的重大事项。</w:t>
              </w:r>
            </w:p>
          </w:sdtContent>
        </w:sdt>
      </w:sdtContent>
    </w:sdt>
    <w:p>
      <w:pPr>
        <w:pStyle w:val="76"/>
        <w:rPr>
          <w:szCs w:val="21"/>
        </w:rPr>
      </w:pPr>
    </w:p>
    <w:p>
      <w:pPr>
        <w:pStyle w:val="78"/>
        <w:numPr>
          <w:ilvl w:val="0"/>
          <w:numId w:val="34"/>
        </w:numPr>
        <w:rPr>
          <w:rFonts w:ascii="宋体" w:hAnsi="宋体"/>
        </w:rPr>
      </w:pPr>
      <w:r>
        <w:rPr>
          <w:rFonts w:hint="eastAsia" w:ascii="宋体" w:hAnsi="宋体"/>
        </w:rPr>
        <w:t>重</w:t>
      </w:r>
      <w:r>
        <w:rPr>
          <w:rFonts w:ascii="宋体" w:hAnsi="宋体"/>
        </w:rPr>
        <w:t>要会计政策</w:t>
      </w:r>
      <w:r>
        <w:rPr>
          <w:rFonts w:hint="eastAsia" w:ascii="宋体" w:hAnsi="宋体"/>
        </w:rPr>
        <w:t>及</w:t>
      </w:r>
      <w:r>
        <w:rPr>
          <w:rFonts w:ascii="宋体" w:hAnsi="宋体"/>
        </w:rPr>
        <w:t>会计估计</w:t>
      </w:r>
    </w:p>
    <w:sdt>
      <w:sdtPr>
        <w:alias w:val="模块:具体会计政策和会计估计提示"/>
        <w:tag w:val="_GBC_03d97fea34d045cb980749ccc6860a5a"/>
        <w:id w:val="25154288"/>
        <w:lock w:val="sdtLocked"/>
        <w:placeholder>
          <w:docPart w:val="GBC22222222222222222222222222222"/>
        </w:placeholder>
      </w:sdtPr>
      <w:sdtContent>
        <w:p>
          <w:pPr>
            <w:pStyle w:val="76"/>
          </w:pPr>
          <w:r>
            <w:rPr>
              <w:rFonts w:hint="eastAsia"/>
            </w:rPr>
            <w:t>具体会计政策和会计估计提示：</w:t>
          </w:r>
        </w:p>
        <w:sdt>
          <w:sdtPr>
            <w:alias w:val="是否适用：具体会计政策和会计估计提示[双击切换]"/>
            <w:tag w:val="_GBC_77c62823e3884e1fbfb236cea1f9f425"/>
            <w:id w:val="2515428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25154287"/>
            <w:lock w:val="sdtLocked"/>
            <w:placeholder>
              <w:docPart w:val="GBC22222222222222222222222222222"/>
            </w:placeholder>
          </w:sdtPr>
          <w:sdtContent>
            <w:p>
              <w:pPr>
                <w:pStyle w:val="76"/>
              </w:pPr>
              <w:r>
                <w:rPr>
                  <w:rFonts w:hint="eastAsia"/>
                </w:rPr>
                <w:t>本公司所编制的财务报表符合企业会计准则的要求，真实、完整地反映了公司的财务状况、经营成果、股东权益变动和现金流量等有关信息。</w:t>
              </w:r>
            </w:p>
          </w:sdtContent>
        </w:sdt>
      </w:sdtContent>
    </w:sdt>
    <w:p>
      <w:pPr>
        <w:pStyle w:val="76"/>
      </w:pPr>
    </w:p>
    <w:sdt>
      <w:sdtPr>
        <w:rPr>
          <w:rFonts w:cs="宋体" w:asciiTheme="minorHAnsi" w:hAnsiTheme="minorHAnsi"/>
          <w:b w:val="0"/>
          <w:bCs w:val="0"/>
          <w:kern w:val="0"/>
          <w:szCs w:val="22"/>
        </w:rPr>
        <w:alias w:val="模块:遵循企业会计准则的声明"/>
        <w:tag w:val="_GBC_a0afbb5b3a444bce84ee78a2a282cb28"/>
        <w:id w:val="25154290"/>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遵循企业会计准则的声明</w:t>
          </w:r>
        </w:p>
        <w:sdt>
          <w:sdtPr>
            <w:rPr>
              <w:rFonts w:hint="eastAsia"/>
              <w:szCs w:val="21"/>
            </w:rPr>
            <w:alias w:val="会计准则和会计制度"/>
            <w:tag w:val="_GBC_a350b889163a4ef3bb500c021e6a6b47"/>
            <w:id w:val="25154289"/>
            <w:lock w:val="sdtLocked"/>
            <w:placeholder>
              <w:docPart w:val="GBC22222222222222222222222222222"/>
            </w:placeholder>
          </w:sdtPr>
          <w:sdtEndPr>
            <w:rPr>
              <w:rFonts w:hint="eastAsia"/>
              <w:szCs w:val="21"/>
            </w:rPr>
          </w:sdtEndPr>
          <w:sdtContent>
            <w:p>
              <w:pPr>
                <w:pStyle w:val="76"/>
                <w:rPr>
                  <w:szCs w:val="21"/>
                </w:rPr>
              </w:pPr>
              <w:r>
                <w:rPr>
                  <w:szCs w:val="21"/>
                </w:rPr>
                <w:t>本公司所编制的财务报表符合企业会计准则的要求，真实、完整地反映了公司的财务状况、经营成果、股东权益变动和现金流量等有关信息。</w:t>
              </w:r>
            </w:p>
          </w:sdtContent>
        </w:sdt>
      </w:sdtContent>
    </w:sdt>
    <w:p>
      <w:pPr>
        <w:pStyle w:val="76"/>
        <w:rPr>
          <w:szCs w:val="21"/>
        </w:rPr>
      </w:pPr>
    </w:p>
    <w:sdt>
      <w:sdtPr>
        <w:rPr>
          <w:rFonts w:ascii="宋体" w:hAnsi="宋体" w:cs="宋体"/>
          <w:b w:val="0"/>
          <w:bCs w:val="0"/>
          <w:kern w:val="0"/>
          <w:szCs w:val="24"/>
        </w:rPr>
        <w:alias w:val="模块:会计期间"/>
        <w:tag w:val="_GBC_2d7f332501c8461ea731797db5588ee5"/>
        <w:id w:val="25154292"/>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会计期间</w:t>
          </w:r>
        </w:p>
        <w:sdt>
          <w:sdtPr>
            <w:rPr>
              <w:rFonts w:hint="eastAsia"/>
              <w:szCs w:val="21"/>
            </w:rPr>
            <w:alias w:val="会计年度"/>
            <w:tag w:val="_GBC_fc896fba50b143f8a06984831f5d5600"/>
            <w:id w:val="25154291"/>
            <w:lock w:val="sdtLocked"/>
            <w:placeholder>
              <w:docPart w:val="GBC22222222222222222222222222222"/>
            </w:placeholder>
          </w:sdtPr>
          <w:sdtEndPr>
            <w:rPr>
              <w:rFonts w:hint="eastAsia"/>
              <w:szCs w:val="21"/>
            </w:rPr>
          </w:sdtEndPr>
          <w:sdtContent>
            <w:p>
              <w:pPr>
                <w:pStyle w:val="76"/>
                <w:rPr>
                  <w:szCs w:val="21"/>
                </w:rPr>
              </w:pPr>
              <w:r>
                <w:rPr>
                  <w:szCs w:val="21"/>
                </w:rPr>
                <w:t>本公司会计年度自公历1月1日起至12月31日止。</w:t>
              </w:r>
            </w:p>
          </w:sdtContent>
        </w:sdt>
      </w:sdtContent>
    </w:sdt>
    <w:p>
      <w:pPr>
        <w:pStyle w:val="76"/>
        <w:rPr>
          <w:szCs w:val="21"/>
        </w:rPr>
      </w:pPr>
    </w:p>
    <w:sdt>
      <w:sdtPr>
        <w:rPr>
          <w:rFonts w:hint="eastAsia" w:cs="宋体" w:asciiTheme="minorHAnsi" w:hAnsiTheme="minorHAnsi"/>
          <w:b w:val="0"/>
          <w:bCs w:val="0"/>
          <w:kern w:val="0"/>
          <w:szCs w:val="22"/>
        </w:rPr>
        <w:alias w:val="模块:营业周期"/>
        <w:tag w:val="_GBC_b045784ca7904d52a060134ffec0d88c"/>
        <w:id w:val="25154295"/>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rPr>
              <w:rFonts w:hint="eastAsia"/>
            </w:rPr>
            <w:t>营业周期</w:t>
          </w:r>
        </w:p>
        <w:sdt>
          <w:sdtPr>
            <w:alias w:val="是否适用：营业周期[双击切换]"/>
            <w:tag w:val="_GBC_1668f7f497234cf886206b57711c4c87"/>
            <w:id w:val="2515429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营业周期"/>
            <w:tag w:val="_GBC_e145e43187d9463889884f48e9e0b234"/>
            <w:id w:val="25154294"/>
            <w:lock w:val="sdtLocked"/>
            <w:placeholder>
              <w:docPart w:val="GBC22222222222222222222222222222"/>
            </w:placeholder>
          </w:sdtPr>
          <w:sdtEndPr>
            <w:rPr>
              <w:szCs w:val="21"/>
            </w:rPr>
          </w:sdtEndPr>
          <w:sdtContent>
            <w:p>
              <w:pPr>
                <w:pStyle w:val="76"/>
                <w:rPr>
                  <w:szCs w:val="21"/>
                </w:rPr>
              </w:pPr>
              <w:r>
                <w:rPr>
                  <w:rFonts w:hint="eastAsia"/>
                  <w:szCs w:val="21"/>
                </w:rPr>
                <w:t>本公司会计年度自公历</w:t>
              </w:r>
              <w:r>
                <w:rPr>
                  <w:szCs w:val="21"/>
                </w:rPr>
                <w:t>1月1日起至12月31日止。</w:t>
              </w:r>
            </w:p>
          </w:sdtContent>
        </w:sdt>
      </w:sdtContent>
    </w:sdt>
    <w:p>
      <w:pPr>
        <w:pStyle w:val="76"/>
        <w:rPr>
          <w:szCs w:val="21"/>
        </w:rPr>
      </w:pPr>
    </w:p>
    <w:sdt>
      <w:sdtPr>
        <w:rPr>
          <w:rFonts w:cs="宋体" w:asciiTheme="minorHAnsi" w:hAnsiTheme="minorHAnsi"/>
          <w:b w:val="0"/>
          <w:bCs w:val="0"/>
          <w:kern w:val="0"/>
          <w:szCs w:val="22"/>
        </w:rPr>
        <w:alias w:val="模块:记账本位币"/>
        <w:tag w:val="_GBC_13b1061968754e20bebf2099281ed54f"/>
        <w:id w:val="25154297"/>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记账本位币</w:t>
          </w:r>
        </w:p>
        <w:sdt>
          <w:sdtPr>
            <w:rPr>
              <w:rFonts w:hint="eastAsia"/>
              <w:szCs w:val="21"/>
            </w:rPr>
            <w:alias w:val="记账本位币"/>
            <w:tag w:val="_GBC_3749a2357eba44e8b968cb41cda75ff1"/>
            <w:id w:val="25154296"/>
            <w:lock w:val="sdtLocked"/>
            <w:placeholder>
              <w:docPart w:val="GBC22222222222222222222222222222"/>
            </w:placeholder>
          </w:sdtPr>
          <w:sdtEndPr>
            <w:rPr>
              <w:rFonts w:hint="eastAsia"/>
              <w:szCs w:val="21"/>
            </w:rPr>
          </w:sdtEndPr>
          <w:sdtContent>
            <w:p>
              <w:pPr>
                <w:pStyle w:val="76"/>
                <w:rPr>
                  <w:szCs w:val="21"/>
                </w:rPr>
              </w:pPr>
              <w:r>
                <w:rPr>
                  <w:szCs w:val="21"/>
                </w:rPr>
                <w:t>本公司的记账本位币为人民币。</w:t>
              </w:r>
            </w:p>
          </w:sdtContent>
        </w:sdt>
        <w:p>
          <w:pPr>
            <w:pStyle w:val="76"/>
            <w:rPr>
              <w:szCs w:val="21"/>
            </w:rPr>
          </w:pPr>
        </w:p>
      </w:sdtContent>
    </w:sdt>
    <w:sdt>
      <w:sdtPr>
        <w:rPr>
          <w:rFonts w:cs="宋体" w:asciiTheme="minorHAnsi" w:hAnsiTheme="minorHAnsi"/>
          <w:b w:val="0"/>
          <w:bCs w:val="0"/>
          <w:kern w:val="0"/>
          <w:szCs w:val="22"/>
        </w:rPr>
        <w:alias w:val="模块:同一控制下和非同一控制下企业合并的会计处理方法"/>
        <w:tag w:val="_GBC_f44e1e76b2a3457ea36bc088adcbb4c3"/>
        <w:id w:val="25154299"/>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5154298"/>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ascii="宋体" w:hAnsi="宋体" w:cs="宋体"/>
          <w:b w:val="0"/>
          <w:bCs w:val="0"/>
          <w:kern w:val="0"/>
          <w:szCs w:val="24"/>
        </w:rPr>
        <w:alias w:val="模块:合并财务报表的编制方法"/>
        <w:tag w:val="_GBC_c23be25e527044f689b710dabd312b04"/>
        <w:id w:val="25154301"/>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合并财务报表的编制方法</w:t>
          </w:r>
        </w:p>
        <w:sdt>
          <w:sdtPr>
            <w:rPr>
              <w:rFonts w:hint="eastAsia"/>
              <w:szCs w:val="21"/>
            </w:rPr>
            <w:alias w:val="是否适用：合并财务报表的编制方法[双击切换]"/>
            <w:tag w:val="_GBC_dad2e053cc8c4461a681b3e4926c48a6"/>
            <w:id w:val="25154300"/>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宋体" w:hAnsi="宋体" w:cs="宋体"/>
          <w:b w:val="0"/>
          <w:bCs w:val="0"/>
          <w:kern w:val="0"/>
          <w:szCs w:val="21"/>
        </w:rPr>
        <w:alias w:val="模块:合营安排分类及共同经营会计处理方法"/>
        <w:tag w:val="_GBC_a6643877dd0341e39dee12c064dc6fdc"/>
        <w:id w:val="25154303"/>
        <w:lock w:val="sdtLocked"/>
        <w:placeholder>
          <w:docPart w:val="GBC22222222222222222222222222222"/>
        </w:placeholder>
      </w:sdtPr>
      <w:sdtEndPr>
        <w:rPr>
          <w:rFonts w:hint="eastAsia" w:ascii="宋体" w:hAnsi="宋体" w:cs="宋体"/>
          <w:b/>
          <w:bCs/>
          <w:kern w:val="0"/>
          <w:szCs w:val="21"/>
        </w:rPr>
      </w:sdtEndPr>
      <w:sdtContent>
        <w:p>
          <w:pPr>
            <w:pStyle w:val="79"/>
            <w:numPr>
              <w:ilvl w:val="0"/>
              <w:numId w:val="3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25154302"/>
            <w:lock w:val="sdtContentLocked"/>
            <w:placeholder>
              <w:docPart w:val="GBC22222222222222222222222222222"/>
            </w:placeholder>
          </w:sdtPr>
          <w:sdtEndPr>
            <w:rPr>
              <w:rFonts w:hint="eastAsia"/>
            </w:rPr>
          </w:sdtEndPr>
          <w:sdtContent>
            <w:p>
              <w:pPr>
                <w:pStyle w:val="76"/>
                <w:rPr>
                  <w:b/>
                  <w:bCs/>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ascii="宋体" w:hAnsi="宋体" w:cs="宋体"/>
          <w:b w:val="0"/>
          <w:bCs w:val="0"/>
          <w:kern w:val="0"/>
          <w:szCs w:val="24"/>
        </w:rPr>
        <w:alias w:val="模块:现金及现金等价物的确定标准"/>
        <w:tag w:val="_GBC_9f2dfe6521c4434b9ad3e7bb1a8a52b7"/>
        <w:id w:val="25154305"/>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现金及现金等价物的确定标准</w:t>
          </w:r>
        </w:p>
        <w:sdt>
          <w:sdtPr>
            <w:rPr>
              <w:rFonts w:hint="eastAsia"/>
              <w:szCs w:val="21"/>
            </w:rPr>
            <w:alias w:val="现金及现金等价物的确定标准"/>
            <w:tag w:val="_GBC_54f6bc3e44e840bc85cb3872600823b5"/>
            <w:id w:val="25154304"/>
            <w:lock w:val="sdtLocked"/>
            <w:placeholder>
              <w:docPart w:val="GBC22222222222222222222222222222"/>
            </w:placeholder>
          </w:sdtPr>
          <w:sdtEndPr>
            <w:rPr>
              <w:rFonts w:hint="eastAsia"/>
              <w:szCs w:val="21"/>
            </w:rPr>
          </w:sdtEndPr>
          <w:sdtContent>
            <w:p>
              <w:pPr>
                <w:pStyle w:val="76"/>
                <w:rPr>
                  <w:szCs w:val="21"/>
                </w:rPr>
              </w:pPr>
              <w:r>
                <w:rPr>
                  <w:szCs w:val="21"/>
                </w:rPr>
                <w:t>现金等价物是指企业持有的期限短（一般指从购买日起三个月内到期）、流动性强、易于转换为已知金额现金、价值变动风险很小的投资。</w:t>
              </w:r>
            </w:p>
          </w:sdtContent>
        </w:sdt>
      </w:sdtContent>
    </w:sdt>
    <w:p>
      <w:pPr>
        <w:pStyle w:val="76"/>
        <w:rPr>
          <w:szCs w:val="21"/>
        </w:rPr>
      </w:pPr>
    </w:p>
    <w:sdt>
      <w:sdtPr>
        <w:rPr>
          <w:rFonts w:cs="宋体" w:asciiTheme="minorHAnsi" w:hAnsiTheme="minorHAnsi"/>
          <w:b w:val="0"/>
          <w:bCs w:val="0"/>
          <w:kern w:val="0"/>
          <w:szCs w:val="22"/>
        </w:rPr>
        <w:alias w:val="模块:外币业务和外币报表折算"/>
        <w:tag w:val="_GBC_cff1e1487c3242a8a1be0ce9c2b7a554"/>
        <w:id w:val="25154308"/>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外币业务和外币报表折算</w:t>
          </w:r>
        </w:p>
        <w:sdt>
          <w:sdtPr>
            <w:rPr>
              <w:rFonts w:hint="eastAsia"/>
              <w:szCs w:val="21"/>
            </w:rPr>
            <w:alias w:val="是否适用：外币业务和外币报表折算[双击切换]"/>
            <w:tag w:val="_GBC_cd1fc5c05f5e49ed9ea2fffe41d0d113"/>
            <w:id w:val="25154306"/>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25154307"/>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本公司发生外币业务，按交易发生日的即期汇率折算为记账本位币金额。</w:t>
              </w:r>
            </w:p>
            <w:p>
              <w:pPr>
                <w:pStyle w:val="76"/>
                <w:rPr>
                  <w:szCs w:val="21"/>
                </w:rPr>
              </w:pPr>
              <w:r>
                <w:rPr>
                  <w:rFonts w:hint="eastAsia"/>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p>
          <w:pPr>
            <w:pStyle w:val="76"/>
            <w:rPr>
              <w:szCs w:val="21"/>
            </w:rPr>
          </w:pPr>
        </w:p>
      </w:sdtContent>
    </w:sdt>
    <w:sdt>
      <w:sdtPr>
        <w:rPr>
          <w:rFonts w:ascii="宋体" w:hAnsi="宋体" w:cs="宋体"/>
          <w:b w:val="0"/>
          <w:bCs w:val="0"/>
          <w:kern w:val="0"/>
          <w:szCs w:val="24"/>
        </w:rPr>
        <w:alias w:val="模块:金融工具"/>
        <w:tag w:val="_GBC_4b3a058b038b41689d379e6a2726a904"/>
        <w:id w:val="25154311"/>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金融工具</w:t>
          </w:r>
        </w:p>
        <w:sdt>
          <w:sdtPr>
            <w:rPr>
              <w:rFonts w:hint="eastAsia"/>
              <w:szCs w:val="21"/>
            </w:rPr>
            <w:alias w:val="是否适用：金融工具_重要会计政策和估计[双击切换]"/>
            <w:tag w:val="_GBC_285bdf73a629411f9c5d05731712b876"/>
            <w:id w:val="2515430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25154310"/>
            <w:lock w:val="sdtLocked"/>
            <w:placeholder>
              <w:docPart w:val="GBC22222222222222222222222222222"/>
            </w:placeholder>
          </w:sdtPr>
          <w:sdtEndPr>
            <w:rPr>
              <w:rFonts w:hint="eastAsia"/>
              <w:szCs w:val="21"/>
            </w:rPr>
          </w:sdtEndPr>
          <w:sdtContent>
            <w:p>
              <w:pPr>
                <w:pStyle w:val="76"/>
                <w:rPr>
                  <w:szCs w:val="21"/>
                </w:rPr>
              </w:pPr>
              <w:r>
                <w:rPr>
                  <w:rFonts w:hint="eastAsia"/>
                  <w:szCs w:val="21"/>
                </w:rPr>
                <w:t>（</w:t>
              </w:r>
              <w:r>
                <w:rPr>
                  <w:szCs w:val="21"/>
                </w:rPr>
                <w:t>1）金融工具的确认和终止确认</w:t>
              </w:r>
            </w:p>
            <w:p>
              <w:pPr>
                <w:pStyle w:val="76"/>
                <w:rPr>
                  <w:szCs w:val="21"/>
                </w:rPr>
              </w:pPr>
              <w:r>
                <w:rPr>
                  <w:rFonts w:hint="eastAsia"/>
                  <w:szCs w:val="21"/>
                </w:rPr>
                <w:t>本公司于成为金融工具合同的一方时确认一项金融资产或金融负债。</w:t>
              </w:r>
            </w:p>
            <w:p>
              <w:pPr>
                <w:pStyle w:val="76"/>
                <w:rPr>
                  <w:szCs w:val="21"/>
                </w:rPr>
              </w:pPr>
              <w:r>
                <w:rPr>
                  <w:rFonts w:hint="eastAsia"/>
                  <w:szCs w:val="21"/>
                </w:rPr>
                <w:t>金融资产满足下列条件之一的，终止确认：</w:t>
              </w:r>
            </w:p>
            <w:p>
              <w:pPr>
                <w:pStyle w:val="76"/>
                <w:rPr>
                  <w:szCs w:val="21"/>
                </w:rPr>
              </w:pPr>
              <w:r>
                <w:rPr>
                  <w:rFonts w:hint="eastAsia"/>
                  <w:szCs w:val="21"/>
                </w:rPr>
                <w:t>①</w:t>
              </w:r>
              <w:r>
                <w:rPr>
                  <w:szCs w:val="21"/>
                </w:rPr>
                <w:t xml:space="preserve"> 收取该金融资产现金流量的合同权利终止；</w:t>
              </w:r>
            </w:p>
            <w:p>
              <w:pPr>
                <w:pStyle w:val="76"/>
                <w:rPr>
                  <w:szCs w:val="21"/>
                </w:rPr>
              </w:pPr>
              <w:r>
                <w:rPr>
                  <w:rFonts w:hint="eastAsia"/>
                  <w:szCs w:val="21"/>
                </w:rPr>
                <w:t>②</w:t>
              </w:r>
              <w:r>
                <w:rPr>
                  <w:szCs w:val="21"/>
                </w:rPr>
                <w:t xml:space="preserve"> 该金融资产已转移，且符合下述金融资产转移的终止确认条件。</w:t>
              </w:r>
            </w:p>
            <w:p>
              <w:pPr>
                <w:pStyle w:val="76"/>
                <w:rPr>
                  <w:szCs w:val="21"/>
                </w:rPr>
              </w:pPr>
              <w:r>
                <w:rPr>
                  <w:szCs w:val="21"/>
                </w:rPr>
                <w:t xml:space="preserve"> 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pPr>
                <w:pStyle w:val="76"/>
                <w:rPr>
                  <w:szCs w:val="21"/>
                </w:rPr>
              </w:pPr>
              <w:r>
                <w:rPr>
                  <w:rFonts w:hint="eastAsia"/>
                  <w:szCs w:val="21"/>
                </w:rPr>
                <w:t>以常规方式买卖金融资产，按交易日进行会计确认和终止确认。</w:t>
              </w:r>
            </w:p>
            <w:p>
              <w:pPr>
                <w:pStyle w:val="76"/>
                <w:rPr>
                  <w:szCs w:val="21"/>
                </w:rPr>
              </w:pPr>
              <w:r>
                <w:rPr>
                  <w:rFonts w:hint="eastAsia"/>
                  <w:szCs w:val="21"/>
                </w:rPr>
                <w:t>（</w:t>
              </w:r>
              <w:r>
                <w:rPr>
                  <w:szCs w:val="21"/>
                </w:rPr>
                <w:t>2）金融资产分类和计量</w:t>
              </w:r>
            </w:p>
            <w:p>
              <w:pPr>
                <w:pStyle w:val="76"/>
                <w:rPr>
                  <w:szCs w:val="21"/>
                </w:rPr>
              </w:pPr>
              <w:r>
                <w:rPr>
                  <w:rFonts w:hint="eastAsia"/>
                  <w:szCs w:val="21"/>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p>
            <w:p>
              <w:pPr>
                <w:pStyle w:val="76"/>
                <w:rPr>
                  <w:szCs w:val="21"/>
                </w:rPr>
              </w:pPr>
              <w:r>
                <w:rPr>
                  <w:rFonts w:hint="eastAsia"/>
                  <w:szCs w:val="21"/>
                </w:rPr>
                <w:t>以公允价值计量且其变动计入当期损益的金融资产</w:t>
              </w:r>
            </w:p>
            <w:p>
              <w:pPr>
                <w:pStyle w:val="76"/>
                <w:rPr>
                  <w:szCs w:val="21"/>
                </w:rPr>
              </w:pPr>
              <w:r>
                <w:rPr>
                  <w:rFonts w:hint="eastAsia"/>
                  <w:szCs w:val="21"/>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应收款项</w:t>
              </w:r>
            </w:p>
            <w:p>
              <w:pPr>
                <w:pStyle w:val="76"/>
                <w:rPr>
                  <w:szCs w:val="21"/>
                </w:rPr>
              </w:pPr>
              <w:r>
                <w:rPr>
                  <w:rFonts w:hint="eastAsia"/>
                  <w:szCs w:val="21"/>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p>
            <w:p>
              <w:pPr>
                <w:pStyle w:val="76"/>
                <w:rPr>
                  <w:szCs w:val="21"/>
                </w:rPr>
              </w:pPr>
              <w:r>
                <w:rPr>
                  <w:rFonts w:hint="eastAsia"/>
                  <w:szCs w:val="21"/>
                </w:rPr>
                <w:t>（</w:t>
              </w:r>
              <w:r>
                <w:rPr>
                  <w:szCs w:val="21"/>
                </w:rPr>
                <w:t>3）金融负债分类和计量</w:t>
              </w:r>
            </w:p>
            <w:p>
              <w:pPr>
                <w:pStyle w:val="76"/>
                <w:rPr>
                  <w:szCs w:val="21"/>
                </w:rPr>
              </w:pPr>
              <w:r>
                <w:rPr>
                  <w:rFonts w:hint="eastAsia"/>
                  <w:szCs w:val="21"/>
                </w:rPr>
                <w:t>本公司的金融负债均为其他金融负债，主要包括应付账款、应付债券等。其他金融负债按其公允价值和相关交易费用之和作为初始确认金额，采用实际利率法，按摊余成本进行后续计量，终止确认或摊销产生的利得或损失计入当期损益。</w:t>
              </w:r>
            </w:p>
            <w:p>
              <w:pPr>
                <w:pStyle w:val="76"/>
                <w:rPr>
                  <w:szCs w:val="21"/>
                </w:rPr>
              </w:pPr>
              <w:r>
                <w:rPr>
                  <w:rFonts w:hint="eastAsia"/>
                  <w:szCs w:val="21"/>
                </w:rPr>
                <w:t>（</w:t>
              </w:r>
              <w:r>
                <w:rPr>
                  <w:szCs w:val="21"/>
                </w:rPr>
                <w:t>4）金融工具的公允价值</w:t>
              </w:r>
            </w:p>
            <w:p>
              <w:pPr>
                <w:pStyle w:val="76"/>
                <w:rPr>
                  <w:szCs w:val="21"/>
                </w:rPr>
              </w:pPr>
              <w:r>
                <w:rPr>
                  <w:rFonts w:hint="eastAsia"/>
                  <w:szCs w:val="21"/>
                </w:rPr>
                <w:t>存在活跃市场的金融资产或金融负债，本公司将活跃市场中的现行出价或现行要价用于确定其公允价值。</w:t>
              </w:r>
            </w:p>
            <w:p>
              <w:pPr>
                <w:pStyle w:val="76"/>
                <w:rPr>
                  <w:szCs w:val="21"/>
                </w:rPr>
              </w:pPr>
              <w:r>
                <w:rPr>
                  <w:rFonts w:hint="eastAsia"/>
                  <w:szCs w:val="21"/>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pPr>
                <w:pStyle w:val="76"/>
                <w:rPr>
                  <w:szCs w:val="21"/>
                </w:rPr>
              </w:pPr>
              <w:r>
                <w:rPr>
                  <w:rFonts w:hint="eastAsia"/>
                  <w:szCs w:val="21"/>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pPr>
                <w:pStyle w:val="76"/>
                <w:rPr>
                  <w:szCs w:val="21"/>
                </w:rPr>
              </w:pPr>
              <w:r>
                <w:rPr>
                  <w:rFonts w:hint="eastAsia"/>
                  <w:szCs w:val="21"/>
                </w:rPr>
                <w:t>（</w:t>
              </w:r>
              <w:r>
                <w:rPr>
                  <w:szCs w:val="21"/>
                </w:rPr>
                <w:t>5）金融资产减值</w:t>
              </w:r>
            </w:p>
            <w:p>
              <w:pPr>
                <w:pStyle w:val="76"/>
                <w:rPr>
                  <w:szCs w:val="21"/>
                </w:rPr>
              </w:pPr>
              <w:r>
                <w:rPr>
                  <w:rFonts w:hint="eastAsia"/>
                  <w:szCs w:val="21"/>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pPr>
                <w:pStyle w:val="76"/>
                <w:rPr>
                  <w:szCs w:val="21"/>
                </w:rPr>
              </w:pPr>
              <w:r>
                <w:rPr>
                  <w:szCs w:val="21"/>
                </w:rPr>
                <w:t xml:space="preserve"> 以摊余成本计量的金融资产</w:t>
              </w:r>
            </w:p>
            <w:p>
              <w:pPr>
                <w:pStyle w:val="76"/>
                <w:rPr>
                  <w:szCs w:val="21"/>
                </w:rPr>
              </w:pPr>
              <w:r>
                <w:rPr>
                  <w:rFonts w:hint="eastAsia"/>
                  <w:szCs w:val="21"/>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p>
            <w:p>
              <w:pPr>
                <w:pStyle w:val="76"/>
                <w:rPr>
                  <w:szCs w:val="21"/>
                </w:rPr>
              </w:pPr>
              <w:r>
                <w:rPr>
                  <w:rFonts w:hint="eastAsia"/>
                  <w:szCs w:val="21"/>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pPr>
                <w:pStyle w:val="76"/>
                <w:rPr>
                  <w:szCs w:val="21"/>
                </w:rPr>
              </w:pPr>
              <w:r>
                <w:rPr>
                  <w:rFonts w:hint="eastAsia"/>
                  <w:szCs w:val="21"/>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pPr>
                <w:pStyle w:val="76"/>
                <w:rPr>
                  <w:szCs w:val="21"/>
                </w:rPr>
              </w:pPr>
              <w:r>
                <w:rPr>
                  <w:rFonts w:hint="eastAsia"/>
                  <w:szCs w:val="21"/>
                </w:rPr>
                <w:t>（</w:t>
              </w:r>
              <w:r>
                <w:rPr>
                  <w:szCs w:val="21"/>
                </w:rPr>
                <w:t>6）金融资产转移</w:t>
              </w:r>
            </w:p>
            <w:p>
              <w:pPr>
                <w:pStyle w:val="76"/>
                <w:rPr>
                  <w:szCs w:val="21"/>
                </w:rPr>
              </w:pPr>
              <w:r>
                <w:rPr>
                  <w:rFonts w:hint="eastAsia"/>
                  <w:szCs w:val="21"/>
                </w:rPr>
                <w:t>金融资产转移，是指将金融资产让与或交付给该金融资产发行方以外的另一方（转入方）。</w:t>
              </w:r>
            </w:p>
            <w:p>
              <w:pPr>
                <w:pStyle w:val="76"/>
                <w:rPr>
                  <w:szCs w:val="21"/>
                </w:rPr>
              </w:pPr>
              <w:r>
                <w:rPr>
                  <w:rFonts w:hint="eastAsia"/>
                  <w:szCs w:val="21"/>
                </w:rPr>
                <w:t>本公司已将金融资产所有权上几乎所有的风险和报酬转移给转入方的，终止确认该金融资产；保留了金融资产所有权上几乎所有的风险和报酬的，不终止确认该金融资产。</w:t>
              </w:r>
            </w:p>
            <w:p>
              <w:pPr>
                <w:pStyle w:val="76"/>
                <w:rPr>
                  <w:szCs w:val="21"/>
                </w:rPr>
              </w:pPr>
              <w:r>
                <w:rPr>
                  <w:rFonts w:hint="eastAsia"/>
                  <w:szCs w:val="21"/>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sdtContent>
    </w:sdt>
    <w:p>
      <w:pPr>
        <w:pStyle w:val="76"/>
        <w:rPr>
          <w:szCs w:val="21"/>
        </w:rPr>
      </w:pPr>
    </w:p>
    <w:p>
      <w:pPr>
        <w:pStyle w:val="79"/>
        <w:numPr>
          <w:ilvl w:val="0"/>
          <w:numId w:val="37"/>
        </w:numPr>
      </w:pPr>
      <w:r>
        <w:t>应收款项</w:t>
      </w:r>
    </w:p>
    <w:sdt>
      <w:sdtPr>
        <w:rPr>
          <w:rFonts w:cs="宋体" w:asciiTheme="minorHAnsi" w:hAnsiTheme="minorHAnsi"/>
          <w:b w:val="0"/>
          <w:bCs w:val="0"/>
          <w:kern w:val="0"/>
          <w:szCs w:val="22"/>
        </w:rPr>
        <w:alias w:val="模块:单项金额重大并单项计提坏账准备的应收款项"/>
        <w:tag w:val="_GBC_1049cb1c0c11493f89bf524d2060bec8"/>
        <w:id w:val="25154315"/>
        <w:lock w:val="sdtLocked"/>
        <w:placeholder>
          <w:docPart w:val="GBC22222222222222222222222222222"/>
        </w:placeholder>
      </w:sdtPr>
      <w:sdtEndPr>
        <w:rPr>
          <w:rFonts w:ascii="宋体" w:hAnsi="宋体" w:cs="宋体"/>
          <w:b w:val="0"/>
          <w:bCs w:val="0"/>
          <w:kern w:val="0"/>
          <w:szCs w:val="24"/>
        </w:rPr>
      </w:sdtEndPr>
      <w:sdtContent>
        <w:p>
          <w:pPr>
            <w:pStyle w:val="80"/>
            <w:numPr>
              <w:ilvl w:val="0"/>
              <w:numId w:val="38"/>
            </w:numPr>
          </w:pPr>
          <w:r>
            <w:t>单项金额重大并单</w:t>
          </w:r>
          <w:r>
            <w:rPr>
              <w:rFonts w:hint="eastAsia"/>
            </w:rPr>
            <w:t>独</w:t>
          </w:r>
          <w:r>
            <w:t>计提坏账准备的应收款项</w:t>
          </w:r>
        </w:p>
        <w:sdt>
          <w:sdtPr>
            <w:alias w:val="是否适用：单项金额重大并单独计提坏账准备的应收款项[双击切换]"/>
            <w:tag w:val="_GBC_febee416997147098e508e34ee547660"/>
            <w:id w:val="2515431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3d43a7511745f3b6af304daf81c844"/>
                <w:id w:val="25154313"/>
                <w:lock w:val="sdtLocked"/>
              </w:sdtPr>
              <w:sdtContent>
                <w:tc>
                  <w:tcPr>
                    <w:tcW w:w="4582" w:type="dxa"/>
                  </w:tcPr>
                  <w:p>
                    <w:pPr>
                      <w:pStyle w:val="76"/>
                      <w:rPr>
                        <w:szCs w:val="21"/>
                      </w:rPr>
                    </w:pPr>
                    <w:r>
                      <w:rPr>
                        <w:szCs w:val="21"/>
                      </w:rPr>
                      <w:t>单项金额重大的判断依据或金额标准</w:t>
                    </w:r>
                  </w:p>
                </w:tc>
              </w:sdtContent>
            </w:sdt>
            <w:tc>
              <w:tcPr>
                <w:tcW w:w="4467" w:type="dxa"/>
              </w:tcPr>
              <w:p>
                <w:pPr>
                  <w:pStyle w:val="76"/>
                  <w:rPr>
                    <w:szCs w:val="21"/>
                  </w:rPr>
                </w:pPr>
                <w:r>
                  <w:t>期末余额达到100万元（含100万元）以上的应收款项为单项金额重大的应收款项。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b4dddf31ea94144b1405db08fe768fe"/>
                <w:id w:val="25154314"/>
                <w:lock w:val="sdtLocked"/>
              </w:sdtPr>
              <w:sdtContent>
                <w:tc>
                  <w:tcPr>
                    <w:tcW w:w="4582" w:type="dxa"/>
                  </w:tcPr>
                  <w:p>
                    <w:pPr>
                      <w:pStyle w:val="76"/>
                      <w:rPr>
                        <w:szCs w:val="21"/>
                      </w:rPr>
                    </w:pPr>
                    <w:r>
                      <w:rPr>
                        <w:szCs w:val="21"/>
                      </w:rPr>
                      <w:t>单项金额重大并单项计提坏账准备的计提方法</w:t>
                    </w:r>
                  </w:p>
                </w:tc>
              </w:sdtContent>
            </w:sdt>
            <w:tc>
              <w:tcPr>
                <w:tcW w:w="4467" w:type="dxa"/>
              </w:tcPr>
              <w:p>
                <w:pPr>
                  <w:pStyle w:val="76"/>
                  <w:rPr>
                    <w:szCs w:val="21"/>
                  </w:rPr>
                </w:pPr>
                <w:r>
                  <w:t>（1）对于单项金额重大的应收款项单独进行减值测试，有客观证据表明发生了减值，根据其未来现金流量现值低于其账面价值的差额计提坏账准备。（2）单项金额重大经单独测试未发生减值的应收款项，再按组合计提坏账准备。</w:t>
                </w:r>
              </w:p>
            </w:tc>
          </w:tr>
        </w:tbl>
        <w:p>
          <w:pPr>
            <w:pStyle w:val="76"/>
          </w:pPr>
        </w:p>
      </w:sdtContent>
    </w:sdt>
    <w:p>
      <w:pPr>
        <w:pStyle w:val="76"/>
      </w:pPr>
    </w:p>
    <w:sdt>
      <w:sdtPr>
        <w:rPr>
          <w:rFonts w:ascii="宋体" w:hAnsi="宋体" w:cs="宋体"/>
          <w:b w:val="0"/>
          <w:bCs w:val="0"/>
          <w:kern w:val="0"/>
          <w:szCs w:val="24"/>
        </w:rPr>
        <w:alias w:val="模块:按组合计提坏账准备应收款项"/>
        <w:tag w:val="_GBC_8f8efa32335c4dda8872c175bbc98aa6"/>
        <w:id w:val="25154320"/>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38"/>
            </w:numPr>
          </w:pPr>
          <w:r>
            <w:rPr>
              <w:rFonts w:hint="eastAsia"/>
            </w:rPr>
            <w:t>按信用风险特征组合计提坏账准备的应收款项：</w:t>
          </w:r>
        </w:p>
        <w:sdt>
          <w:sdtPr>
            <w:alias w:val="是否适用：按信用风险特征组合计提坏账准备的应收款项[双击切换]"/>
            <w:tag w:val="_GBC_cda42dd7a4444ec2977520892e82917f"/>
            <w:id w:val="2515431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fc0ab133c54d5dbfe0898f044bc7b7"/>
                <w:id w:val="25154317"/>
                <w:lock w:val="sdtLocked"/>
              </w:sdtPr>
              <w:sdtContent>
                <w:tc>
                  <w:tcPr>
                    <w:tcW w:w="9049" w:type="dxa"/>
                    <w:gridSpan w:val="2"/>
                  </w:tcPr>
                  <w:p>
                    <w:pPr>
                      <w:pStyle w:val="76"/>
                      <w:rPr>
                        <w:szCs w:val="21"/>
                      </w:rPr>
                    </w:pPr>
                    <w:r>
                      <w:rPr>
                        <w:rFonts w:hint="eastAsia"/>
                        <w:szCs w:val="21"/>
                      </w:rPr>
                      <w:t>按信用风险特征组合计提坏账准备的计提方法（账龄分析法、余额百分比法、其他方法）</w:t>
                    </w:r>
                  </w:p>
                </w:tc>
              </w:sdtContent>
            </w:sdt>
          </w:tr>
          <w:sdt>
            <w:sdtPr>
              <w:rPr>
                <w:rFonts w:cstheme="minorBidi"/>
                <w:kern w:val="2"/>
                <w:szCs w:val="21"/>
              </w:rPr>
              <w:alias w:val="按信用风险特征组合计提坏账准备的应收款项明细"/>
              <w:tag w:val="_GBC_757caf6360334ab4802eb9d1db5ddf44"/>
              <w:id w:val="25154319"/>
              <w:lock w:val="sdtLocked"/>
            </w:sdtPr>
            <w:sdtEndPr>
              <w:rPr>
                <w:rFonts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2" w:type="dxa"/>
                  </w:tcPr>
                  <w:p>
                    <w:pPr>
                      <w:pStyle w:val="76"/>
                      <w:rPr>
                        <w:szCs w:val="21"/>
                      </w:rPr>
                    </w:pPr>
                    <w:r>
                      <w:rPr>
                        <w:szCs w:val="21"/>
                      </w:rPr>
                      <w:t>账龄组合</w:t>
                    </w:r>
                  </w:p>
                </w:tc>
                <w:sdt>
                  <w:sdtPr>
                    <w:rPr>
                      <w:szCs w:val="21"/>
                    </w:rPr>
                    <w:alias w:val="按信用风险特征组合计提坏账准备的应收款项明细-应收账款计提坏账准备方法"/>
                    <w:tag w:val="_GBC_f0223d8eed774f6d88e69c4a34cefffc"/>
                    <w:id w:val="25154318"/>
                    <w:lock w:val="sdtLocked"/>
                  </w:sdtPr>
                  <w:sdtEndPr>
                    <w:rPr>
                      <w:szCs w:val="21"/>
                    </w:rPr>
                  </w:sdtEndPr>
                  <w:sdtContent>
                    <w:tc>
                      <w:tcPr>
                        <w:tcW w:w="4467" w:type="dxa"/>
                      </w:tcPr>
                      <w:p>
                        <w:pPr>
                          <w:pStyle w:val="76"/>
                          <w:rPr>
                            <w:szCs w:val="21"/>
                          </w:rPr>
                        </w:pPr>
                        <w:r>
                          <w:rPr>
                            <w:szCs w:val="21"/>
                          </w:rPr>
                          <w:t>账龄分析法</w:t>
                        </w:r>
                      </w:p>
                    </w:tc>
                  </w:sdtContent>
                </w:sdt>
              </w:tr>
            </w:sdtContent>
          </w:sdt>
        </w:tbl>
        <w:p>
          <w:pPr>
            <w:pStyle w:val="76"/>
            <w:rPr>
              <w:szCs w:val="21"/>
            </w:rPr>
          </w:pPr>
        </w:p>
      </w:sdtContent>
    </w:sdt>
    <w:sdt>
      <w:sdtPr>
        <w:rPr>
          <w:szCs w:val="21"/>
        </w:rPr>
        <w:alias w:val="模块:组合中，采用账龄分析法计提坏账准备的"/>
        <w:tag w:val="_GBC_d2b0bcab648248b28260e0b64daec338"/>
        <w:id w:val="25154331"/>
        <w:lock w:val="sdtLocked"/>
        <w:placeholder>
          <w:docPart w:val="GBC22222222222222222222222222222"/>
        </w:placeholder>
      </w:sdtPr>
      <w:sdtEndPr>
        <w:rPr>
          <w:szCs w:val="24"/>
        </w:rPr>
      </w:sdtEndPr>
      <w:sdtContent>
        <w:p>
          <w:pPr>
            <w:pStyle w:val="76"/>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25154321"/>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2963"/>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916748fb9d4076855a58dd3c12326f"/>
                <w:id w:val="25154322"/>
                <w:lock w:val="sdtLocked"/>
              </w:sdtPr>
              <w:sdtContent>
                <w:tc>
                  <w:tcPr>
                    <w:tcW w:w="3122" w:type="dxa"/>
                    <w:vAlign w:val="center"/>
                  </w:tcPr>
                  <w:p>
                    <w:pPr>
                      <w:pStyle w:val="76"/>
                      <w:jc w:val="center"/>
                      <w:rPr>
                        <w:szCs w:val="21"/>
                      </w:rPr>
                    </w:pPr>
                    <w:r>
                      <w:rPr>
                        <w:szCs w:val="21"/>
                      </w:rPr>
                      <w:t>账龄</w:t>
                    </w:r>
                  </w:p>
                </w:tc>
              </w:sdtContent>
            </w:sdt>
            <w:sdt>
              <w:sdtPr>
                <w:tag w:val="_PLD_1b1c20f7f4e54327a2836b61b25d86ef"/>
                <w:id w:val="25154323"/>
                <w:lock w:val="sdtLocked"/>
              </w:sdtPr>
              <w:sdtContent>
                <w:tc>
                  <w:tcPr>
                    <w:tcW w:w="2963" w:type="dxa"/>
                    <w:vAlign w:val="center"/>
                  </w:tcPr>
                  <w:p>
                    <w:pPr>
                      <w:pStyle w:val="76"/>
                      <w:jc w:val="center"/>
                      <w:rPr>
                        <w:szCs w:val="21"/>
                      </w:rPr>
                    </w:pPr>
                    <w:r>
                      <w:rPr>
                        <w:szCs w:val="21"/>
                      </w:rPr>
                      <w:t>应收账款计提比例(%)</w:t>
                    </w:r>
                  </w:p>
                </w:tc>
              </w:sdtContent>
            </w:sdt>
            <w:sdt>
              <w:sdtPr>
                <w:tag w:val="_PLD_c56cec70ffcf42cfb7ea5c7e2a45eb2d"/>
                <w:id w:val="25154324"/>
                <w:lock w:val="sdtLocked"/>
              </w:sdtPr>
              <w:sdtContent>
                <w:tc>
                  <w:tcPr>
                    <w:tcW w:w="2964" w:type="dxa"/>
                    <w:vAlign w:val="center"/>
                  </w:tcPr>
                  <w:p>
                    <w:pPr>
                      <w:pStyle w:val="76"/>
                      <w:jc w:val="center"/>
                      <w:rPr>
                        <w:szCs w:val="21"/>
                      </w:rPr>
                    </w:pPr>
                    <w:r>
                      <w:rPr>
                        <w:rFonts w:hint="eastAsia"/>
                        <w:szCs w:val="21"/>
                      </w:rPr>
                      <w:t>其他应收款计提比例</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de4163bfd84f9f9e2e7062841eabcc"/>
                <w:id w:val="25154325"/>
                <w:lock w:val="sdtLocked"/>
              </w:sdtPr>
              <w:sdtContent>
                <w:tc>
                  <w:tcPr>
                    <w:tcW w:w="3122" w:type="dxa"/>
                  </w:tcPr>
                  <w:p>
                    <w:pPr>
                      <w:pStyle w:val="76"/>
                      <w:rPr>
                        <w:szCs w:val="21"/>
                      </w:rPr>
                    </w:pPr>
                    <w:r>
                      <w:rPr>
                        <w:szCs w:val="21"/>
                      </w:rPr>
                      <w:t>1年以内（含1年）</w:t>
                    </w:r>
                  </w:p>
                </w:tc>
              </w:sdtContent>
            </w:sdt>
            <w:tc>
              <w:tcPr>
                <w:tcW w:w="2963" w:type="dxa"/>
              </w:tcPr>
              <w:p>
                <w:pPr>
                  <w:pStyle w:val="76"/>
                  <w:jc w:val="right"/>
                  <w:rPr>
                    <w:szCs w:val="21"/>
                  </w:rPr>
                </w:pPr>
                <w:r>
                  <w:t>3</w:t>
                </w:r>
              </w:p>
            </w:tc>
            <w:tc>
              <w:tcPr>
                <w:tcW w:w="2964" w:type="dxa"/>
              </w:tcPr>
              <w:p>
                <w:pPr>
                  <w:pStyle w:val="76"/>
                  <w:jc w:val="right"/>
                  <w:rPr>
                    <w:szCs w:val="21"/>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98ad8a41f54dcc916ea639270ba7c6"/>
                <w:id w:val="25154326"/>
                <w:lock w:val="sdtLocked"/>
              </w:sdtPr>
              <w:sdtContent>
                <w:tc>
                  <w:tcPr>
                    <w:tcW w:w="3122" w:type="dxa"/>
                  </w:tcPr>
                  <w:p>
                    <w:pPr>
                      <w:pStyle w:val="76"/>
                      <w:rPr>
                        <w:szCs w:val="21"/>
                      </w:rPr>
                    </w:pPr>
                    <w:r>
                      <w:rPr>
                        <w:szCs w:val="21"/>
                      </w:rPr>
                      <w:t>1－2年</w:t>
                    </w:r>
                  </w:p>
                </w:tc>
              </w:sdtContent>
            </w:sdt>
            <w:tc>
              <w:tcPr>
                <w:tcW w:w="2963" w:type="dxa"/>
              </w:tcPr>
              <w:p>
                <w:pPr>
                  <w:pStyle w:val="76"/>
                  <w:jc w:val="right"/>
                  <w:rPr>
                    <w:szCs w:val="21"/>
                  </w:rPr>
                </w:pPr>
                <w:r>
                  <w:t>10</w:t>
                </w:r>
              </w:p>
            </w:tc>
            <w:tc>
              <w:tcPr>
                <w:tcW w:w="2964" w:type="dxa"/>
              </w:tcPr>
              <w:p>
                <w:pPr>
                  <w:pStyle w:val="76"/>
                  <w:jc w:val="right"/>
                  <w:rPr>
                    <w:szCs w:val="21"/>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e7ae29488814635990d8d7c0a9841c2"/>
                <w:id w:val="25154327"/>
                <w:lock w:val="sdtLocked"/>
              </w:sdtPr>
              <w:sdtContent>
                <w:tc>
                  <w:tcPr>
                    <w:tcW w:w="3122" w:type="dxa"/>
                  </w:tcPr>
                  <w:p>
                    <w:pPr>
                      <w:pStyle w:val="76"/>
                      <w:rPr>
                        <w:szCs w:val="21"/>
                      </w:rPr>
                    </w:pPr>
                    <w:r>
                      <w:rPr>
                        <w:szCs w:val="21"/>
                      </w:rPr>
                      <w:t>2－3年</w:t>
                    </w:r>
                  </w:p>
                </w:tc>
              </w:sdtContent>
            </w:sdt>
            <w:tc>
              <w:tcPr>
                <w:tcW w:w="2963" w:type="dxa"/>
              </w:tcPr>
              <w:p>
                <w:pPr>
                  <w:pStyle w:val="76"/>
                  <w:jc w:val="right"/>
                  <w:rPr>
                    <w:szCs w:val="21"/>
                  </w:rPr>
                </w:pPr>
                <w:r>
                  <w:t>30</w:t>
                </w:r>
              </w:p>
            </w:tc>
            <w:tc>
              <w:tcPr>
                <w:tcW w:w="2964" w:type="dxa"/>
              </w:tcPr>
              <w:p>
                <w:pPr>
                  <w:pStyle w:val="76"/>
                  <w:jc w:val="right"/>
                  <w:rPr>
                    <w:szCs w:val="21"/>
                  </w:rP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5202034fd874d84af49e9375b0b9d4d"/>
                <w:id w:val="25154328"/>
                <w:lock w:val="sdtLocked"/>
              </w:sdtPr>
              <w:sdtContent>
                <w:tc>
                  <w:tcPr>
                    <w:tcW w:w="3122" w:type="dxa"/>
                  </w:tcPr>
                  <w:p>
                    <w:pPr>
                      <w:pStyle w:val="76"/>
                      <w:rPr>
                        <w:szCs w:val="21"/>
                      </w:rPr>
                    </w:pPr>
                    <w:r>
                      <w:rPr>
                        <w:szCs w:val="21"/>
                      </w:rPr>
                      <w:t>3－4年</w:t>
                    </w:r>
                  </w:p>
                </w:tc>
              </w:sdtContent>
            </w:sdt>
            <w:tc>
              <w:tcPr>
                <w:tcW w:w="2963" w:type="dxa"/>
              </w:tcPr>
              <w:p>
                <w:pPr>
                  <w:pStyle w:val="76"/>
                  <w:jc w:val="right"/>
                  <w:rPr>
                    <w:szCs w:val="21"/>
                  </w:rPr>
                </w:pPr>
                <w:r>
                  <w:t>50</w:t>
                </w:r>
              </w:p>
            </w:tc>
            <w:tc>
              <w:tcPr>
                <w:tcW w:w="2964" w:type="dxa"/>
              </w:tcPr>
              <w:p>
                <w:pPr>
                  <w:pStyle w:val="76"/>
                  <w:jc w:val="right"/>
                  <w:rPr>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bbbca1fb4cb44d2b24a22e01267c0a7"/>
                <w:id w:val="25154329"/>
                <w:lock w:val="sdtLocked"/>
              </w:sdtPr>
              <w:sdtContent>
                <w:tc>
                  <w:tcPr>
                    <w:tcW w:w="3122" w:type="dxa"/>
                  </w:tcPr>
                  <w:p>
                    <w:pPr>
                      <w:pStyle w:val="76"/>
                      <w:rPr>
                        <w:szCs w:val="21"/>
                      </w:rPr>
                    </w:pPr>
                    <w:r>
                      <w:rPr>
                        <w:szCs w:val="21"/>
                      </w:rPr>
                      <w:t>4－5年</w:t>
                    </w:r>
                  </w:p>
                </w:tc>
              </w:sdtContent>
            </w:sdt>
            <w:tc>
              <w:tcPr>
                <w:tcW w:w="2963" w:type="dxa"/>
              </w:tcPr>
              <w:p>
                <w:pPr>
                  <w:pStyle w:val="76"/>
                  <w:jc w:val="right"/>
                  <w:rPr>
                    <w:szCs w:val="21"/>
                  </w:rPr>
                </w:pPr>
                <w:r>
                  <w:t>80</w:t>
                </w:r>
              </w:p>
            </w:tc>
            <w:tc>
              <w:tcPr>
                <w:tcW w:w="2964" w:type="dxa"/>
              </w:tcPr>
              <w:p>
                <w:pPr>
                  <w:pStyle w:val="76"/>
                  <w:jc w:val="right"/>
                  <w:rPr>
                    <w:szCs w:val="21"/>
                  </w:rPr>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494df1d577648969f6cb76f74d11643"/>
                <w:id w:val="25154330"/>
                <w:lock w:val="sdtLocked"/>
              </w:sdtPr>
              <w:sdtContent>
                <w:tc>
                  <w:tcPr>
                    <w:tcW w:w="3122" w:type="dxa"/>
                  </w:tcPr>
                  <w:p>
                    <w:pPr>
                      <w:pStyle w:val="76"/>
                      <w:rPr>
                        <w:szCs w:val="21"/>
                      </w:rPr>
                    </w:pPr>
                    <w:r>
                      <w:rPr>
                        <w:szCs w:val="21"/>
                      </w:rPr>
                      <w:t>5年以上</w:t>
                    </w:r>
                  </w:p>
                </w:tc>
              </w:sdtContent>
            </w:sdt>
            <w:tc>
              <w:tcPr>
                <w:tcW w:w="2963" w:type="dxa"/>
              </w:tcPr>
              <w:p>
                <w:pPr>
                  <w:pStyle w:val="76"/>
                  <w:jc w:val="right"/>
                  <w:rPr>
                    <w:szCs w:val="21"/>
                  </w:rPr>
                </w:pPr>
                <w:r>
                  <w:t>100</w:t>
                </w:r>
              </w:p>
            </w:tc>
            <w:tc>
              <w:tcPr>
                <w:tcW w:w="2964" w:type="dxa"/>
              </w:tcPr>
              <w:p>
                <w:pPr>
                  <w:pStyle w:val="76"/>
                  <w:jc w:val="right"/>
                  <w:rPr>
                    <w:szCs w:val="21"/>
                  </w:rPr>
                </w:pPr>
                <w:r>
                  <w:t>100</w:t>
                </w:r>
              </w:p>
            </w:tc>
          </w:tr>
        </w:tbl>
        <w:p>
          <w:pPr>
            <w:pStyle w:val="76"/>
          </w:pPr>
        </w:p>
      </w:sdtContent>
    </w:sdt>
    <w:p>
      <w:pPr>
        <w:pStyle w:val="76"/>
        <w:rPr>
          <w:szCs w:val="21"/>
        </w:rPr>
      </w:pPr>
    </w:p>
    <w:sdt>
      <w:sdtPr>
        <w:rPr>
          <w:szCs w:val="21"/>
        </w:rPr>
        <w:alias w:val="模块:组合中，采用余额百分比法计提坏账准备的"/>
        <w:tag w:val="_GBC_42695328443346a19705a83f0dd76480"/>
        <w:id w:val="25154333"/>
        <w:lock w:val="sdtLocked"/>
        <w:placeholder>
          <w:docPart w:val="GBC22222222222222222222222222222"/>
        </w:placeholder>
      </w:sdtPr>
      <w:sdtEndPr>
        <w:rPr>
          <w:rFonts w:hint="eastAsia"/>
          <w:szCs w:val="21"/>
        </w:rPr>
      </w:sdtEndPr>
      <w:sdtContent>
        <w:p>
          <w:pPr>
            <w:pStyle w:val="76"/>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25154332"/>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25154335"/>
        <w:lock w:val="sdtLocked"/>
        <w:placeholder>
          <w:docPart w:val="GBC22222222222222222222222222222"/>
        </w:placeholder>
      </w:sdtPr>
      <w:sdtEndPr>
        <w:rPr>
          <w:szCs w:val="21"/>
        </w:rPr>
      </w:sdtEndPr>
      <w:sdtContent>
        <w:p>
          <w:pPr>
            <w:pStyle w:val="76"/>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2515433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25154339"/>
        <w:lock w:val="sdtLocked"/>
        <w:placeholder>
          <w:docPart w:val="GBC22222222222222222222222222222"/>
        </w:placeholder>
      </w:sdtPr>
      <w:sdtEndPr>
        <w:rPr>
          <w:rFonts w:ascii="宋体" w:hAnsi="宋体" w:cs="宋体"/>
          <w:b w:val="0"/>
          <w:bCs w:val="0"/>
          <w:kern w:val="0"/>
          <w:szCs w:val="24"/>
        </w:rPr>
      </w:sdtEndPr>
      <w:sdtContent>
        <w:p>
          <w:pPr>
            <w:pStyle w:val="80"/>
            <w:numPr>
              <w:ilvl w:val="0"/>
              <w:numId w:val="38"/>
            </w:numPr>
          </w:pPr>
          <w:r>
            <w:rPr>
              <w:rFonts w:hint="eastAsia"/>
            </w:rPr>
            <w:t>单项金额不重大但单独计提坏账准备的应收款项：</w:t>
          </w:r>
        </w:p>
        <w:sdt>
          <w:sdtPr>
            <w:alias w:val="是否适用：单项金额不重大但单独计提坏账准备的应收款项[双击切换]"/>
            <w:tag w:val="_GBC_5b8ea154df004a7d99ab7f85da3cae91"/>
            <w:id w:val="2515433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682570a15d549f1ac52e85ed84eb821"/>
                <w:id w:val="25154337"/>
                <w:lock w:val="sdtLocked"/>
              </w:sdtPr>
              <w:sdtContent>
                <w:tc>
                  <w:tcPr>
                    <w:tcW w:w="4338" w:type="dxa"/>
                  </w:tcPr>
                  <w:p>
                    <w:pPr>
                      <w:pStyle w:val="76"/>
                      <w:rPr>
                        <w:szCs w:val="21"/>
                      </w:rPr>
                    </w:pPr>
                    <w:r>
                      <w:rPr>
                        <w:szCs w:val="21"/>
                      </w:rPr>
                      <w:t>单项计提坏账准备的理由</w:t>
                    </w:r>
                  </w:p>
                </w:tc>
              </w:sdtContent>
            </w:sdt>
            <w:tc>
              <w:tcPr>
                <w:tcW w:w="4711" w:type="dxa"/>
              </w:tcPr>
              <w:p>
                <w:pPr>
                  <w:pStyle w:val="76"/>
                  <w:rPr>
                    <w:szCs w:val="21"/>
                  </w:rPr>
                </w:pPr>
                <w:r>
                  <w:t>(A)债务人发生重大经营困难，出现严重资不低债、企业被迫关停并转、进入破产清算程序等情况；(B)客户信誉较差，逾期三年未能收回且三年内无业务往来；(C)其他表明应收款项发生减值的客观依据。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e0be7bd7b0447f09671a545e737d79b"/>
                <w:id w:val="25154338"/>
                <w:lock w:val="sdtLocked"/>
              </w:sdtPr>
              <w:sdtContent>
                <w:tc>
                  <w:tcPr>
                    <w:tcW w:w="4338" w:type="dxa"/>
                  </w:tcPr>
                  <w:p>
                    <w:pPr>
                      <w:pStyle w:val="76"/>
                      <w:rPr>
                        <w:szCs w:val="21"/>
                      </w:rPr>
                    </w:pPr>
                    <w:r>
                      <w:rPr>
                        <w:szCs w:val="21"/>
                      </w:rPr>
                      <w:t>坏账准备的计提方法</w:t>
                    </w:r>
                  </w:p>
                </w:tc>
              </w:sdtContent>
            </w:sdt>
            <w:tc>
              <w:tcPr>
                <w:tcW w:w="4711" w:type="dxa"/>
              </w:tcPr>
              <w:p>
                <w:pPr>
                  <w:pStyle w:val="76"/>
                  <w:rPr>
                    <w:szCs w:val="21"/>
                  </w:rPr>
                </w:pPr>
                <w:r>
                  <w:t>根据其未来现金流量现值低于其账面价值的差额计提坏账准备</w:t>
                </w:r>
              </w:p>
            </w:tc>
          </w:tr>
        </w:tbl>
        <w:p>
          <w:pPr>
            <w:pStyle w:val="76"/>
          </w:pPr>
        </w:p>
      </w:sdtContent>
    </w:sdt>
    <w:p>
      <w:pPr>
        <w:pStyle w:val="76"/>
        <w:rPr>
          <w:szCs w:val="21"/>
        </w:rPr>
      </w:pPr>
    </w:p>
    <w:sdt>
      <w:sdtPr>
        <w:rPr>
          <w:rFonts w:asciiTheme="minorHAnsi" w:hAnsiTheme="minorHAnsi" w:cstheme="minorBidi"/>
          <w:b w:val="0"/>
          <w:bCs w:val="0"/>
          <w:kern w:val="0"/>
          <w:szCs w:val="22"/>
        </w:rPr>
        <w:alias w:val="模块:存货"/>
        <w:tag w:val="_GBC_b0f90fdf6c7749dbb9bd3cde55d5c0c3"/>
        <w:id w:val="25154342"/>
        <w:lock w:val="sdtLocked"/>
        <w:placeholder>
          <w:docPart w:val="GBC22222222222222222222222222222"/>
        </w:placeholder>
      </w:sdtPr>
      <w:sdtEndPr>
        <w:rPr>
          <w:rFonts w:ascii="宋体" w:hAnsi="宋体" w:cs="Times New Roman"/>
          <w:b w:val="0"/>
          <w:bCs w:val="0"/>
          <w:kern w:val="0"/>
          <w:szCs w:val="21"/>
        </w:rPr>
      </w:sdtEndPr>
      <w:sdtContent>
        <w:p>
          <w:pPr>
            <w:pStyle w:val="79"/>
            <w:numPr>
              <w:ilvl w:val="0"/>
              <w:numId w:val="37"/>
            </w:numPr>
          </w:pPr>
          <w:r>
            <w:t>存货</w:t>
          </w:r>
        </w:p>
        <w:sdt>
          <w:sdtPr>
            <w:alias w:val="是否适用：存货_重要会计政策和估计[双击切换]"/>
            <w:tag w:val="_GBC_5c493df9664440ecbc3f3fa5d917221a"/>
            <w:id w:val="2515434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存货的核算方法"/>
            <w:tag w:val="_GBC_553fb8cba06d4979b05ae3dabe788fa6"/>
            <w:id w:val="25154341"/>
            <w:lock w:val="sdtLocked"/>
            <w:placeholder>
              <w:docPart w:val="GBC22222222222222222222222222222"/>
            </w:placeholder>
          </w:sdtPr>
          <w:sdtEndPr>
            <w:rPr>
              <w:szCs w:val="21"/>
            </w:rPr>
          </w:sdtEndPr>
          <w:sdtContent>
            <w:p>
              <w:pPr>
                <w:pStyle w:val="76"/>
                <w:rPr>
                  <w:szCs w:val="21"/>
                </w:rPr>
              </w:pPr>
              <w:r>
                <w:rPr>
                  <w:rFonts w:hint="eastAsia"/>
                  <w:szCs w:val="21"/>
                </w:rPr>
                <w:t>（</w:t>
              </w:r>
              <w:r>
                <w:rPr>
                  <w:szCs w:val="21"/>
                </w:rPr>
                <w:t>1）存货的分类</w:t>
              </w:r>
            </w:p>
            <w:p>
              <w:pPr>
                <w:pStyle w:val="76"/>
                <w:rPr>
                  <w:szCs w:val="21"/>
                </w:rPr>
              </w:pPr>
              <w:r>
                <w:rPr>
                  <w:rFonts w:hint="eastAsia"/>
                  <w:szCs w:val="21"/>
                </w:rPr>
                <w:t>本公司存货分为原材料、在产品、库存商品等。</w:t>
              </w:r>
            </w:p>
            <w:p>
              <w:pPr>
                <w:pStyle w:val="76"/>
                <w:rPr>
                  <w:szCs w:val="21"/>
                </w:rPr>
              </w:pPr>
              <w:r>
                <w:rPr>
                  <w:rFonts w:hint="eastAsia"/>
                  <w:szCs w:val="21"/>
                </w:rPr>
                <w:t>（</w:t>
              </w:r>
              <w:r>
                <w:rPr>
                  <w:szCs w:val="21"/>
                </w:rPr>
                <w:t>2）发出存货的计价方法</w:t>
              </w:r>
            </w:p>
            <w:p>
              <w:pPr>
                <w:pStyle w:val="76"/>
                <w:rPr>
                  <w:szCs w:val="21"/>
                </w:rPr>
              </w:pPr>
              <w:r>
                <w:rPr>
                  <w:rFonts w:hint="eastAsia"/>
                  <w:szCs w:val="21"/>
                </w:rPr>
                <w:t>加权平均法</w:t>
              </w:r>
            </w:p>
            <w:p>
              <w:pPr>
                <w:pStyle w:val="76"/>
                <w:rPr>
                  <w:szCs w:val="21"/>
                </w:rPr>
              </w:pPr>
              <w:r>
                <w:rPr>
                  <w:rFonts w:hint="eastAsia"/>
                  <w:szCs w:val="21"/>
                </w:rPr>
                <w:t>（</w:t>
              </w:r>
              <w:r>
                <w:rPr>
                  <w:szCs w:val="21"/>
                </w:rPr>
                <w:t>3）存货可变现净值的确定依据及存货跌价准备的计提方法</w:t>
              </w:r>
            </w:p>
            <w:p>
              <w:pPr>
                <w:pStyle w:val="76"/>
                <w:rPr>
                  <w:szCs w:val="21"/>
                </w:rPr>
              </w:pPr>
              <w:r>
                <w:rPr>
                  <w:rFonts w:hint="eastAsia"/>
                  <w:szCs w:val="21"/>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pPr>
                <w:pStyle w:val="76"/>
                <w:rPr>
                  <w:szCs w:val="21"/>
                </w:rPr>
              </w:pPr>
              <w:r>
                <w:rPr>
                  <w:szCs w:val="21"/>
                </w:rPr>
                <w:t xml:space="preserve"> 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pPr>
                <w:pStyle w:val="76"/>
                <w:rPr>
                  <w:szCs w:val="21"/>
                </w:rPr>
              </w:pPr>
              <w:r>
                <w:rPr>
                  <w:rFonts w:hint="eastAsia"/>
                  <w:szCs w:val="21"/>
                </w:rPr>
                <w:t>（</w:t>
              </w:r>
              <w:r>
                <w:rPr>
                  <w:szCs w:val="21"/>
                </w:rPr>
                <w:t>4）存货的盘存制度</w:t>
              </w:r>
            </w:p>
            <w:p>
              <w:pPr>
                <w:pStyle w:val="76"/>
                <w:rPr>
                  <w:szCs w:val="21"/>
                </w:rPr>
              </w:pPr>
              <w:r>
                <w:rPr>
                  <w:rFonts w:hint="eastAsia"/>
                  <w:szCs w:val="21"/>
                </w:rPr>
                <w:t>永续盘存制</w:t>
              </w:r>
            </w:p>
            <w:p>
              <w:pPr>
                <w:pStyle w:val="76"/>
                <w:rPr>
                  <w:szCs w:val="21"/>
                </w:rPr>
              </w:pPr>
              <w:r>
                <w:rPr>
                  <w:rFonts w:hint="eastAsia"/>
                  <w:szCs w:val="21"/>
                </w:rPr>
                <w:t>（</w:t>
              </w:r>
              <w:r>
                <w:rPr>
                  <w:szCs w:val="21"/>
                </w:rPr>
                <w:t>5）低值易耗品和包装物的摊销方法</w:t>
              </w:r>
            </w:p>
            <w:p>
              <w:pPr>
                <w:pStyle w:val="76"/>
                <w:rPr>
                  <w:rFonts w:cs="Times New Roman"/>
                  <w:szCs w:val="21"/>
                </w:rPr>
              </w:pPr>
              <w:r>
                <w:rPr>
                  <w:rFonts w:hint="eastAsia"/>
                  <w:szCs w:val="21"/>
                </w:rPr>
                <w:t>一次摊销法</w:t>
              </w:r>
            </w:p>
          </w:sdtContent>
        </w:sdt>
      </w:sdtContent>
    </w:sdt>
    <w:p>
      <w:pPr>
        <w:pStyle w:val="76"/>
        <w:rPr>
          <w:rFonts w:cs="Times New Roman"/>
          <w:szCs w:val="21"/>
        </w:rPr>
      </w:pPr>
    </w:p>
    <w:sdt>
      <w:sdtPr>
        <w:rPr>
          <w:rFonts w:hint="eastAsia" w:ascii="宋体" w:hAnsi="宋体" w:cs="宋体"/>
          <w:b w:val="0"/>
          <w:bCs w:val="0"/>
          <w:kern w:val="0"/>
          <w:szCs w:val="21"/>
        </w:rPr>
        <w:alias w:val="模块:划分为持有待售资产"/>
        <w:tag w:val="_GBC_a1a86a762feb43c3bed478ce8a19ae7c"/>
        <w:id w:val="2515434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2515434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asciiTheme="minorHAnsi" w:hAnsiTheme="minorHAnsi" w:cstheme="minorBidi"/>
          <w:b w:val="0"/>
          <w:bCs w:val="0"/>
          <w:kern w:val="0"/>
          <w:szCs w:val="22"/>
        </w:rPr>
        <w:alias w:val="模块:长期股权投资"/>
        <w:tag w:val="_GBC_d82c12cf13554acd90dfb7880244798c"/>
        <w:id w:val="25154347"/>
        <w:lock w:val="sdtLocked"/>
        <w:placeholder>
          <w:docPart w:val="GBC22222222222222222222222222222"/>
        </w:placeholder>
      </w:sdtPr>
      <w:sdtEndPr>
        <w:rPr>
          <w:rFonts w:ascii="宋体" w:hAnsi="宋体" w:cs="Times New Roman"/>
          <w:b w:val="0"/>
          <w:bCs w:val="0"/>
          <w:kern w:val="0"/>
          <w:szCs w:val="21"/>
        </w:rPr>
      </w:sdtEndPr>
      <w:sdtContent>
        <w:p>
          <w:pPr>
            <w:pStyle w:val="79"/>
            <w:numPr>
              <w:ilvl w:val="0"/>
              <w:numId w:val="37"/>
            </w:numPr>
          </w:pPr>
          <w:r>
            <w:t>长期股权投资</w:t>
          </w:r>
        </w:p>
        <w:sdt>
          <w:sdtPr>
            <w:alias w:val="是否适用：长期股权投资_重要会计政策和估计[双击切换]"/>
            <w:tag w:val="_GBC_a2b657853ac547afaaad118dec96d0e1"/>
            <w:id w:val="2515434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长期股权投资的核算方法"/>
            <w:tag w:val="_GBC_3e77074cd50946b1bccdff9bc1c9556f"/>
            <w:id w:val="25154346"/>
            <w:lock w:val="sdtLocked"/>
            <w:placeholder>
              <w:docPart w:val="GBC22222222222222222222222222222"/>
            </w:placeholder>
          </w:sdtPr>
          <w:sdtEndPr>
            <w:rPr>
              <w:szCs w:val="21"/>
            </w:rPr>
          </w:sdtEndPr>
          <w:sdtContent>
            <w:p>
              <w:pPr>
                <w:pStyle w:val="76"/>
                <w:rPr>
                  <w:szCs w:val="21"/>
                </w:rPr>
              </w:pPr>
              <w:r>
                <w:rPr>
                  <w:rFonts w:hint="eastAsia"/>
                  <w:szCs w:val="21"/>
                </w:rPr>
                <w:t>长期股权投资包括对子公司、合营企业和联营企业的权益性投资。</w:t>
              </w:r>
            </w:p>
            <w:p>
              <w:pPr>
                <w:pStyle w:val="76"/>
                <w:rPr>
                  <w:szCs w:val="21"/>
                </w:rPr>
              </w:pPr>
              <w:r>
                <w:rPr>
                  <w:rFonts w:hint="eastAsia"/>
                  <w:szCs w:val="21"/>
                </w:rPr>
                <w:t>长期股权投资在取得时以初始投资成本进行初始计量。通过同一控制下的企业合并取得的长期股权投资，以合并日取得被合并方所有者权益在最终控制方合并财务报表中的账面价值的份额</w:t>
              </w:r>
              <w:r>
                <w:rPr>
                  <w:szCs w:val="21"/>
                </w:rPr>
                <w:t xml:space="preserve"> 作为初始投资成本；初始投资成本与合并对价账面价值之间差额，调整资本公积(不足冲减的， 冲减留存收益)；合并日之前的其他综合收益，在处置该项投资时采用与被投资单位直接处置相关资产或负债相同的基础进行会计处理，因被投资方除净损益、其他综合收益和利润分配以外的其他股东权益变动而确认的股东权益，在处置该项投资时转入当期损益；其中，处置后仍为长期股权投资</w:t>
              </w:r>
              <w:r>
                <w:rPr>
                  <w:rFonts w:hint="eastAsia"/>
                  <w:szCs w:val="21"/>
                </w:rPr>
                <w:t>的按比例结转，处置后转换为金融工具的则全额结转。通过非同一控制下的企业合并取得的长期股权投资，以合并成本作为初始投资成本</w:t>
              </w:r>
              <w:r>
                <w:rPr>
                  <w:szCs w:val="21"/>
                </w:rPr>
                <w:t>(通过多次交易分步实现非同一控制下的企业合并的，以购买日之前所持被购买方的股权投资的账面价值与购买日新增投资成本之和 作为初始投资成本)，合并成本包括购买方付出的资产、发生或承担的负债、发行的权益性证券的公允价值之和；购买日之前持有的因采用权益法核算而确认的其他综合收益，在处置该项投 资时采用与被投资单位直接处置相关资产或负债相同的基础进行会计处理，因被投资方除净损益、其他综合收益和利润分</w:t>
              </w:r>
              <w:r>
                <w:rPr>
                  <w:rFonts w:hint="eastAsia"/>
                  <w:szCs w:val="21"/>
                </w:rPr>
                <w:t>配以外的其他股东权益变动而确认的股东权益，在处置该项投资时转入当期损益；其中，处置后仍为长期股权投资的按比例结转，处置后转换为金融工具的则全额结转。除企业合并形成的长期股权投资以外方式取得的长期股权投资，按照下列方法确定初始投资成本：支付现金取得的，以实际支付的购买价款及与取得长期股权投资直接相关的费用、税金及其他必要支出作为初始投资成本；发行权益性证券取得的，以发行权益性证券的公允价值作为初始投资成本。</w:t>
              </w:r>
            </w:p>
            <w:p>
              <w:pPr>
                <w:pStyle w:val="76"/>
                <w:rPr>
                  <w:szCs w:val="21"/>
                </w:rPr>
              </w:pPr>
              <w:r>
                <w:rPr>
                  <w:rFonts w:hint="eastAsia"/>
                  <w:szCs w:val="21"/>
                </w:rPr>
                <w:t>本公司能够对被投资单位实施控制的长期股权投资，在本公司个别财务报表中采用成本法核算。控制，是指拥有对被投资方的权力，通过参与被投资方的相关活动而享有可变回报，并且有能力运用对被投资方的权力影响回报金额。采用成本法时</w:t>
              </w:r>
              <w:r>
                <w:rPr>
                  <w:szCs w:val="21"/>
                </w:rPr>
                <w:t>,长期股权投资按初始投资成本计价。追加或收回投资的，调整长期股权投资的成本。被投资单位宣告分派的现金股利或利润，确认为当期投资收益。</w:t>
              </w:r>
            </w:p>
            <w:p>
              <w:pPr>
                <w:pStyle w:val="76"/>
                <w:rPr>
                  <w:szCs w:val="21"/>
                </w:rPr>
              </w:pPr>
              <w:r>
                <w:rPr>
                  <w:szCs w:val="21"/>
                </w:rPr>
                <w:t xml:space="preserve"> 本公司对被投资单位具有共同控制或重大影响的，长期股权投资采用权益法核算。共同控制，是指按照相关约定对某项安排所共有的控制，并且该安排的相关活动必须经过分享控制权的参 与方一致同意后才能决策。重大影响，是指对被投资单位的财务和经营政策有参与决策的权力， 但并不能够控制或者与其他方一起共同控制这些政策的制定。采用权益法时，长期股权投资的初始投资成本大于投资时应享有被投资单位可辨认净资产公允价值份额的，归入长期股权投资的初始投资成本；长期股权投资的初始投资成本小于投资时应享有被投资单位可辨认净资产公允价值份额的</w:t>
              </w:r>
              <w:r>
                <w:rPr>
                  <w:rFonts w:hint="eastAsia"/>
                  <w:szCs w:val="21"/>
                </w:rPr>
                <w:t>，其差额计入当期损益，同时调整长期股权投资的成本。采用权益法时，取得长期股权投资后，按照应享有或应分担的被投资单位实现的净损益和其他综合收益的份额，分别确认投资损益和其他综合收益并调整长期股权投资的账面价值。在确认应享有被投资单位净损益的份额时，以取得投资时被投资单位可辨认资产等的公允价值为基础，按照本公司的会计政策及会计期间，并抵销与联营企业及合营企业之间发生的内部交易损益按照应享有的比例计算归属于投资方的部分</w:t>
              </w:r>
              <w:r>
                <w:rPr>
                  <w:szCs w:val="21"/>
                </w:rPr>
                <w:t>(但内部交易损失属于资产减值损失的，应全额确认)，对被投资单位的净利润进行调整后确认，但投出或出</w:t>
              </w:r>
              <w:r>
                <w:rPr>
                  <w:rFonts w:hint="eastAsia"/>
                  <w:szCs w:val="21"/>
                </w:rPr>
                <w:t>售的资产构成业务的除外。按照被投资单位宣告分派的利润或现金股利计算应享有的部分，相应减少长期股权投资的账面价值。本公司确认被投资单位发生的净亏损，以长期股权投资的账面价值以及其他实质上构成对被投资单位净投资的长期权益减记至零为限，本公司负有承担额外损失义务的除外。对于被投资单位除净</w:t>
              </w:r>
              <w:r>
                <w:rPr>
                  <w:szCs w:val="21"/>
                </w:rPr>
                <w:t xml:space="preserve"> 损益、其他综合收益和利润分配以外所有者权益的其他变动，调整长期股权投资的账面价值并计入所有者权益。处置长期股权投资，其账面价值与实际取得价款的差额，计入当期损益。采用权益法核算的长期股权投资，在终止采用权益法的，原权益法核算的相</w:t>
              </w:r>
              <w:r>
                <w:rPr>
                  <w:rFonts w:hint="eastAsia"/>
                  <w:szCs w:val="21"/>
                </w:rPr>
                <w:t>关其他综合收益采用与被投资单位直接处置相关资产或负债相同的基础进行会计处理，因被投资方除净损益、其他综合收益和利润分配以外的其他股东权益变动而确认的股东权益，全部转入当期损益；仍采用权益法的，原权益法核算的相关其他综合收益采用与被投资单位直接处置相关资产或负债相同的基础进行会计处理并按比例转入当期损益，因被投资方除净损益、其他综合收益和利润分配以外的其他股东权益变动而确认的股东权益按相应的比例转入当期损益。</w:t>
              </w:r>
              <w:r>
                <w:rPr>
                  <w:szCs w:val="21"/>
                </w:rPr>
                <w:t xml:space="preserve"> 因处置部分权益性投资等原因丧失了对被投资单位的控制的，在编制个别财务报表时，处置后的剩余股权能够对被</w:t>
              </w:r>
              <w:r>
                <w:rPr>
                  <w:rFonts w:hint="eastAsia"/>
                  <w:szCs w:val="21"/>
                </w:rPr>
                <w:t>投资单位实施共同控制或施加重大影响的，应当改按权益法核算，并对该剩余股权视同自取得时即采用权益法核算进行调整。</w:t>
              </w:r>
            </w:p>
          </w:sdtContent>
        </w:sdt>
      </w:sdtContent>
    </w:sdt>
    <w:p>
      <w:pPr>
        <w:pStyle w:val="76"/>
        <w:rPr>
          <w:szCs w:val="21"/>
        </w:rPr>
      </w:pPr>
    </w:p>
    <w:p>
      <w:pPr>
        <w:pStyle w:val="79"/>
        <w:numPr>
          <w:ilvl w:val="0"/>
          <w:numId w:val="37"/>
        </w:numPr>
      </w:pPr>
      <w:r>
        <w:t>投资性房地产</w:t>
      </w:r>
    </w:p>
    <w:sdt>
      <w:sdtPr>
        <w:rPr>
          <w:rFonts w:hint="eastAsia"/>
        </w:rPr>
        <w:tag w:val="_GBC_6983d9e24ed54c18a335cb0386f36c2c"/>
        <w:id w:val="25154349"/>
        <w:lock w:val="sdtLocked"/>
        <w:placeholder>
          <w:docPart w:val="GBC22222222222222222222222222222"/>
        </w:placeholder>
      </w:sdtPr>
      <w:sdtEndPr>
        <w:rPr>
          <w:rFonts w:hint="eastAsia"/>
          <w:szCs w:val="21"/>
        </w:rPr>
      </w:sdtEndPr>
      <w:sdtContent>
        <w:p>
          <w:pPr>
            <w:pStyle w:val="76"/>
            <w:rPr>
              <w:szCs w:val="21"/>
            </w:rPr>
          </w:pPr>
          <w:r>
            <w:rPr>
              <w:rFonts w:hint="eastAsia"/>
              <w:szCs w:val="21"/>
            </w:rPr>
            <w:t>不</w:t>
          </w:r>
          <w:sdt>
            <w:sdtPr>
              <w:rPr>
                <w:rFonts w:hint="eastAsia"/>
                <w:szCs w:val="21"/>
              </w:rPr>
              <w:tag w:val="_PLD_2184b7576e914eab9a60f92a290f95d2"/>
              <w:id w:val="25154348"/>
              <w:lock w:val="sdtLocked"/>
            </w:sdtPr>
            <w:sdtEndPr>
              <w:rPr>
                <w:rFonts w:hint="eastAsia"/>
                <w:szCs w:val="21"/>
              </w:rPr>
            </w:sdtEndPr>
            <w:sdtContent>
              <w:r>
                <w:rPr>
                  <w:rFonts w:hint="eastAsia"/>
                  <w:szCs w:val="21"/>
                </w:rPr>
                <w:t>适</w:t>
              </w:r>
            </w:sdtContent>
          </w:sdt>
          <w:r>
            <w:rPr>
              <w:rFonts w:hint="eastAsia"/>
              <w:szCs w:val="21"/>
            </w:rPr>
            <w:t>用</w:t>
          </w:r>
        </w:p>
      </w:sdtContent>
    </w:sdt>
    <w:p>
      <w:pPr>
        <w:pStyle w:val="76"/>
        <w:rPr>
          <w:szCs w:val="21"/>
        </w:rPr>
      </w:pPr>
    </w:p>
    <w:p>
      <w:pPr>
        <w:pStyle w:val="76"/>
        <w:rPr>
          <w:szCs w:val="21"/>
        </w:rPr>
      </w:pPr>
    </w:p>
    <w:p>
      <w:pPr>
        <w:pStyle w:val="79"/>
        <w:numPr>
          <w:ilvl w:val="0"/>
          <w:numId w:val="37"/>
        </w:numPr>
      </w:pPr>
      <w:r>
        <w:t>固定资产</w:t>
      </w:r>
    </w:p>
    <w:sdt>
      <w:sdtPr>
        <w:rPr>
          <w:rFonts w:ascii="宋体" w:hAnsi="宋体" w:cs="宋体"/>
          <w:b w:val="0"/>
          <w:bCs w:val="0"/>
          <w:kern w:val="0"/>
          <w:szCs w:val="24"/>
        </w:rPr>
        <w:alias w:val="模块:固定资产确认条件"/>
        <w:tag w:val="_GBC_662771796da549e1b2a02fb7d497f077"/>
        <w:id w:val="25154352"/>
        <w:lock w:val="sdtLocked"/>
        <w:placeholder>
          <w:docPart w:val="GBC22222222222222222222222222222"/>
        </w:placeholder>
      </w:sdtPr>
      <w:sdtEndPr>
        <w:rPr>
          <w:rFonts w:ascii="Times New Roman" w:hAnsi="Times New Roman" w:cs="宋体"/>
          <w:b w:val="0"/>
          <w:bCs w:val="0"/>
          <w:kern w:val="0"/>
          <w:szCs w:val="24"/>
        </w:rPr>
      </w:sdtEndPr>
      <w:sdtContent>
        <w:p>
          <w:pPr>
            <w:pStyle w:val="80"/>
            <w:numPr>
              <w:ilvl w:val="0"/>
              <w:numId w:val="39"/>
            </w:numPr>
          </w:pPr>
          <w:r>
            <w:rPr>
              <w:rFonts w:hint="eastAsia"/>
            </w:rPr>
            <w:t>确认条件</w:t>
          </w:r>
        </w:p>
        <w:sdt>
          <w:sdtPr>
            <w:alias w:val="是否适用：固定资产确认条件[双击切换]"/>
            <w:tag w:val="_GBC_45cce032cd1f43bfad18a80dd94e9cc4"/>
            <w:id w:val="2515435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25154351"/>
            <w:lock w:val="sdtLocked"/>
            <w:placeholder>
              <w:docPart w:val="GBC22222222222222222222222222222"/>
            </w:placeholder>
          </w:sdtPr>
          <w:sdtEndPr>
            <w:rPr>
              <w:b/>
              <w:bCs/>
              <w:szCs w:val="21"/>
            </w:rPr>
          </w:sdtEndPr>
          <w:sdtContent>
            <w:p>
              <w:pPr>
                <w:pStyle w:val="76"/>
                <w:rPr>
                  <w:b/>
                  <w:bCs/>
                  <w:szCs w:val="21"/>
                </w:rPr>
              </w:pPr>
              <w:r>
                <w:rPr>
                  <w:rFonts w:hint="eastAsia"/>
                  <w:bCs/>
                  <w:szCs w:val="21"/>
                </w:rPr>
                <w:t>固定资产是指为生产商品、提供劳务、出租或经营管理而持有的，使用年限超过一年，单位价值较高的有形资产。</w:t>
              </w:r>
            </w:p>
          </w:sdtContent>
        </w:sdt>
      </w:sdtContent>
    </w:sdt>
    <w:p>
      <w:pPr>
        <w:pStyle w:val="76"/>
        <w:rPr>
          <w:szCs w:val="21"/>
        </w:rPr>
      </w:pPr>
    </w:p>
    <w:sdt>
      <w:sdtPr>
        <w:rPr>
          <w:rFonts w:asciiTheme="minorHAnsi" w:hAnsiTheme="minorHAnsi" w:cstheme="minorBidi"/>
          <w:b w:val="0"/>
          <w:bCs w:val="0"/>
          <w:kern w:val="0"/>
          <w:szCs w:val="22"/>
        </w:rPr>
        <w:alias w:val="模块:固定资产折旧方法"/>
        <w:tag w:val="_GBC_7c749a57d4094b3386978c34c3487e2a"/>
        <w:id w:val="25154363"/>
        <w:lock w:val="sdtLocked"/>
        <w:placeholder>
          <w:docPart w:val="GBC22222222222222222222222222222"/>
        </w:placeholder>
      </w:sdtPr>
      <w:sdtEndPr>
        <w:rPr>
          <w:rFonts w:ascii="宋体" w:hAnsi="宋体" w:cs="宋体"/>
          <w:b w:val="0"/>
          <w:bCs w:val="0"/>
          <w:kern w:val="0"/>
          <w:szCs w:val="24"/>
        </w:rPr>
      </w:sdtEndPr>
      <w:sdtContent>
        <w:p>
          <w:pPr>
            <w:pStyle w:val="80"/>
            <w:numPr>
              <w:ilvl w:val="0"/>
              <w:numId w:val="39"/>
            </w:numPr>
          </w:pPr>
          <w:r>
            <w:t>折旧方法</w:t>
          </w:r>
        </w:p>
        <w:sdt>
          <w:sdtPr>
            <w:alias w:val="是否适用：固定资产折旧方法[双击切换]"/>
            <w:tag w:val="_GBC_c221ef38ff6a4242aab725946697311c"/>
            <w:id w:val="2515435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832"/>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9db65ac15c4d7583d7fe75cb893517"/>
                <w:id w:val="25154354"/>
                <w:lock w:val="sdtLocked"/>
              </w:sdtPr>
              <w:sdtContent>
                <w:tc>
                  <w:tcPr>
                    <w:tcW w:w="1718" w:type="dxa"/>
                    <w:vAlign w:val="center"/>
                  </w:tcPr>
                  <w:p>
                    <w:pPr>
                      <w:pStyle w:val="76"/>
                      <w:jc w:val="center"/>
                      <w:rPr>
                        <w:szCs w:val="21"/>
                      </w:rPr>
                    </w:pPr>
                    <w:r>
                      <w:rPr>
                        <w:szCs w:val="21"/>
                      </w:rPr>
                      <w:t>类别</w:t>
                    </w:r>
                  </w:p>
                </w:tc>
              </w:sdtContent>
            </w:sdt>
            <w:sdt>
              <w:sdtPr>
                <w:tag w:val="_PLD_1b5147121b9948e5a115c7a4d6c95995"/>
                <w:id w:val="25154355"/>
                <w:lock w:val="sdtLocked"/>
              </w:sdtPr>
              <w:sdtContent>
                <w:tc>
                  <w:tcPr>
                    <w:tcW w:w="1832" w:type="dxa"/>
                    <w:vAlign w:val="center"/>
                  </w:tcPr>
                  <w:p>
                    <w:pPr>
                      <w:pStyle w:val="76"/>
                      <w:jc w:val="center"/>
                      <w:rPr>
                        <w:szCs w:val="21"/>
                      </w:rPr>
                    </w:pPr>
                    <w:r>
                      <w:rPr>
                        <w:rFonts w:hint="eastAsia"/>
                        <w:szCs w:val="21"/>
                      </w:rPr>
                      <w:t>折旧方法</w:t>
                    </w:r>
                  </w:p>
                </w:tc>
              </w:sdtContent>
            </w:sdt>
            <w:sdt>
              <w:sdtPr>
                <w:tag w:val="_PLD_65441224aa3f4fd3be4ca0650b16b1aa"/>
                <w:id w:val="25154356"/>
                <w:lock w:val="sdtLocked"/>
              </w:sdtPr>
              <w:sdtContent>
                <w:tc>
                  <w:tcPr>
                    <w:tcW w:w="1833" w:type="dxa"/>
                    <w:vAlign w:val="center"/>
                  </w:tcPr>
                  <w:p>
                    <w:pPr>
                      <w:pStyle w:val="76"/>
                      <w:jc w:val="center"/>
                      <w:rPr>
                        <w:szCs w:val="21"/>
                      </w:rPr>
                    </w:pPr>
                    <w:r>
                      <w:rPr>
                        <w:szCs w:val="21"/>
                      </w:rPr>
                      <w:t>折旧年限（年）</w:t>
                    </w:r>
                  </w:p>
                </w:tc>
              </w:sdtContent>
            </w:sdt>
            <w:sdt>
              <w:sdtPr>
                <w:tag w:val="_PLD_1c82a37539a842289bf80f2937f33bee"/>
                <w:id w:val="25154357"/>
                <w:lock w:val="sdtLocked"/>
              </w:sdtPr>
              <w:sdtContent>
                <w:tc>
                  <w:tcPr>
                    <w:tcW w:w="1833" w:type="dxa"/>
                    <w:vAlign w:val="center"/>
                  </w:tcPr>
                  <w:p>
                    <w:pPr>
                      <w:pStyle w:val="76"/>
                      <w:jc w:val="center"/>
                      <w:rPr>
                        <w:szCs w:val="21"/>
                      </w:rPr>
                    </w:pPr>
                    <w:r>
                      <w:rPr>
                        <w:szCs w:val="21"/>
                      </w:rPr>
                      <w:t>残值率</w:t>
                    </w:r>
                  </w:p>
                </w:tc>
              </w:sdtContent>
            </w:sdt>
            <w:sdt>
              <w:sdtPr>
                <w:tag w:val="_PLD_a67e8338c181496fa22b9944b63ec82c"/>
                <w:id w:val="25154358"/>
                <w:lock w:val="sdtLocked"/>
              </w:sdtPr>
              <w:sdtContent>
                <w:tc>
                  <w:tcPr>
                    <w:tcW w:w="1833" w:type="dxa"/>
                    <w:vAlign w:val="center"/>
                  </w:tcPr>
                  <w:p>
                    <w:pPr>
                      <w:pStyle w:val="76"/>
                      <w:jc w:val="center"/>
                      <w:rPr>
                        <w:szCs w:val="21"/>
                      </w:rPr>
                    </w:pPr>
                    <w:r>
                      <w:rPr>
                        <w:szCs w:val="21"/>
                      </w:rPr>
                      <w:t>年折旧率</w:t>
                    </w:r>
                  </w:p>
                </w:tc>
              </w:sdtContent>
            </w:sdt>
          </w:tr>
          <w:sdt>
            <w:sdtPr>
              <w:rPr>
                <w:szCs w:val="21"/>
              </w:rPr>
              <w:alias w:val="其他固定资产计价、折旧、减值方法"/>
              <w:tag w:val="_GBC_f1ad6125c5d74d2a98f593d2ba574474"/>
              <w:id w:val="2515435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76"/>
                      <w:rPr>
                        <w:szCs w:val="21"/>
                      </w:rPr>
                    </w:pPr>
                    <w:r>
                      <w:t>房屋及建筑物</w:t>
                    </w:r>
                  </w:p>
                </w:tc>
                <w:tc>
                  <w:tcPr>
                    <w:tcW w:w="1832" w:type="dxa"/>
                  </w:tcPr>
                  <w:p>
                    <w:pPr>
                      <w:pStyle w:val="76"/>
                      <w:rPr>
                        <w:szCs w:val="21"/>
                      </w:rPr>
                    </w:pPr>
                    <w:r>
                      <w:t>直线法</w:t>
                    </w:r>
                  </w:p>
                </w:tc>
                <w:tc>
                  <w:tcPr>
                    <w:tcW w:w="1833" w:type="dxa"/>
                  </w:tcPr>
                  <w:p>
                    <w:pPr>
                      <w:pStyle w:val="76"/>
                      <w:rPr>
                        <w:szCs w:val="21"/>
                      </w:rPr>
                    </w:pPr>
                    <w:r>
                      <w:t>30—40</w:t>
                    </w:r>
                  </w:p>
                </w:tc>
                <w:tc>
                  <w:tcPr>
                    <w:tcW w:w="1833" w:type="dxa"/>
                  </w:tcPr>
                  <w:p>
                    <w:pPr>
                      <w:pStyle w:val="76"/>
                      <w:rPr>
                        <w:szCs w:val="21"/>
                      </w:rPr>
                    </w:pPr>
                    <w:r>
                      <w:t>0</w:t>
                    </w:r>
                  </w:p>
                </w:tc>
                <w:tc>
                  <w:tcPr>
                    <w:tcW w:w="1833" w:type="dxa"/>
                  </w:tcPr>
                  <w:p>
                    <w:pPr>
                      <w:pStyle w:val="76"/>
                      <w:rPr>
                        <w:szCs w:val="21"/>
                      </w:rPr>
                    </w:pPr>
                    <w:r>
                      <w:t>2.5—3.33</w:t>
                    </w:r>
                  </w:p>
                </w:tc>
              </w:tr>
            </w:sdtContent>
          </w:sdt>
          <w:sdt>
            <w:sdtPr>
              <w:rPr>
                <w:szCs w:val="21"/>
              </w:rPr>
              <w:alias w:val="其他固定资产计价、折旧、减值方法"/>
              <w:tag w:val="_GBC_f1ad6125c5d74d2a98f593d2ba574474"/>
              <w:id w:val="25154360"/>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76"/>
                      <w:rPr>
                        <w:szCs w:val="21"/>
                      </w:rPr>
                    </w:pPr>
                    <w:r>
                      <w:t>机器设备</w:t>
                    </w:r>
                  </w:p>
                </w:tc>
                <w:tc>
                  <w:tcPr>
                    <w:tcW w:w="1832" w:type="dxa"/>
                  </w:tcPr>
                  <w:p>
                    <w:pPr>
                      <w:pStyle w:val="76"/>
                      <w:rPr>
                        <w:szCs w:val="21"/>
                      </w:rPr>
                    </w:pPr>
                    <w:r>
                      <w:t>直线法</w:t>
                    </w:r>
                  </w:p>
                </w:tc>
                <w:tc>
                  <w:tcPr>
                    <w:tcW w:w="1833" w:type="dxa"/>
                  </w:tcPr>
                  <w:p>
                    <w:pPr>
                      <w:pStyle w:val="76"/>
                      <w:rPr>
                        <w:szCs w:val="21"/>
                      </w:rPr>
                    </w:pPr>
                    <w:r>
                      <w:t>15</w:t>
                    </w:r>
                  </w:p>
                </w:tc>
                <w:tc>
                  <w:tcPr>
                    <w:tcW w:w="1833" w:type="dxa"/>
                  </w:tcPr>
                  <w:p>
                    <w:pPr>
                      <w:pStyle w:val="76"/>
                      <w:rPr>
                        <w:szCs w:val="21"/>
                      </w:rPr>
                    </w:pPr>
                    <w:r>
                      <w:t>0</w:t>
                    </w:r>
                  </w:p>
                </w:tc>
                <w:tc>
                  <w:tcPr>
                    <w:tcW w:w="1833" w:type="dxa"/>
                  </w:tcPr>
                  <w:p>
                    <w:pPr>
                      <w:pStyle w:val="76"/>
                      <w:rPr>
                        <w:szCs w:val="21"/>
                      </w:rPr>
                    </w:pPr>
                    <w:r>
                      <w:t>6.67</w:t>
                    </w:r>
                  </w:p>
                </w:tc>
              </w:tr>
            </w:sdtContent>
          </w:sdt>
          <w:sdt>
            <w:sdtPr>
              <w:rPr>
                <w:szCs w:val="21"/>
              </w:rPr>
              <w:alias w:val="其他固定资产计价、折旧、减值方法"/>
              <w:tag w:val="_GBC_f1ad6125c5d74d2a98f593d2ba574474"/>
              <w:id w:val="25154361"/>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76"/>
                      <w:rPr>
                        <w:szCs w:val="21"/>
                      </w:rPr>
                    </w:pPr>
                    <w:r>
                      <w:t>电子设备</w:t>
                    </w:r>
                  </w:p>
                </w:tc>
                <w:tc>
                  <w:tcPr>
                    <w:tcW w:w="1832" w:type="dxa"/>
                  </w:tcPr>
                  <w:p>
                    <w:pPr>
                      <w:pStyle w:val="76"/>
                      <w:rPr>
                        <w:szCs w:val="21"/>
                      </w:rPr>
                    </w:pPr>
                    <w:r>
                      <w:t>直线法</w:t>
                    </w:r>
                  </w:p>
                </w:tc>
                <w:tc>
                  <w:tcPr>
                    <w:tcW w:w="1833" w:type="dxa"/>
                  </w:tcPr>
                  <w:p>
                    <w:pPr>
                      <w:pStyle w:val="76"/>
                      <w:rPr>
                        <w:szCs w:val="21"/>
                      </w:rPr>
                    </w:pPr>
                    <w:r>
                      <w:t>5</w:t>
                    </w:r>
                  </w:p>
                </w:tc>
                <w:tc>
                  <w:tcPr>
                    <w:tcW w:w="1833" w:type="dxa"/>
                  </w:tcPr>
                  <w:p>
                    <w:pPr>
                      <w:pStyle w:val="76"/>
                      <w:rPr>
                        <w:szCs w:val="21"/>
                      </w:rPr>
                    </w:pPr>
                    <w:r>
                      <w:t>0</w:t>
                    </w:r>
                  </w:p>
                </w:tc>
                <w:tc>
                  <w:tcPr>
                    <w:tcW w:w="1833" w:type="dxa"/>
                  </w:tcPr>
                  <w:p>
                    <w:pPr>
                      <w:pStyle w:val="76"/>
                      <w:rPr>
                        <w:szCs w:val="21"/>
                      </w:rPr>
                    </w:pPr>
                    <w:r>
                      <w:t>20</w:t>
                    </w:r>
                  </w:p>
                </w:tc>
              </w:tr>
            </w:sdtContent>
          </w:sdt>
          <w:sdt>
            <w:sdtPr>
              <w:rPr>
                <w:szCs w:val="21"/>
              </w:rPr>
              <w:alias w:val="其他固定资产计价、折旧、减值方法"/>
              <w:tag w:val="_GBC_f1ad6125c5d74d2a98f593d2ba574474"/>
              <w:id w:val="2515436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76"/>
                      <w:rPr>
                        <w:szCs w:val="21"/>
                      </w:rPr>
                    </w:pPr>
                    <w:r>
                      <w:t>运输设备</w:t>
                    </w:r>
                  </w:p>
                </w:tc>
                <w:tc>
                  <w:tcPr>
                    <w:tcW w:w="1832" w:type="dxa"/>
                  </w:tcPr>
                  <w:p>
                    <w:pPr>
                      <w:pStyle w:val="76"/>
                      <w:rPr>
                        <w:szCs w:val="21"/>
                      </w:rPr>
                    </w:pPr>
                    <w:r>
                      <w:t>直线法</w:t>
                    </w:r>
                  </w:p>
                </w:tc>
                <w:tc>
                  <w:tcPr>
                    <w:tcW w:w="1833" w:type="dxa"/>
                  </w:tcPr>
                  <w:p>
                    <w:pPr>
                      <w:pStyle w:val="76"/>
                      <w:rPr>
                        <w:szCs w:val="21"/>
                      </w:rPr>
                    </w:pPr>
                    <w:r>
                      <w:t>5</w:t>
                    </w:r>
                  </w:p>
                </w:tc>
                <w:tc>
                  <w:tcPr>
                    <w:tcW w:w="1833" w:type="dxa"/>
                  </w:tcPr>
                  <w:p>
                    <w:pPr>
                      <w:pStyle w:val="76"/>
                      <w:rPr>
                        <w:szCs w:val="21"/>
                      </w:rPr>
                    </w:pPr>
                    <w:r>
                      <w:t>0</w:t>
                    </w:r>
                  </w:p>
                </w:tc>
                <w:tc>
                  <w:tcPr>
                    <w:tcW w:w="1833" w:type="dxa"/>
                  </w:tcPr>
                  <w:p>
                    <w:pPr>
                      <w:pStyle w:val="76"/>
                      <w:rPr>
                        <w:szCs w:val="21"/>
                      </w:rPr>
                    </w:pPr>
                    <w:r>
                      <w:t>20</w:t>
                    </w:r>
                  </w:p>
                </w:tc>
              </w:tr>
            </w:sdtContent>
          </w:sdt>
        </w:tbl>
        <w:p>
          <w:pPr>
            <w:pStyle w:val="76"/>
          </w:pPr>
        </w:p>
      </w:sdtContent>
    </w:sdt>
    <w:p>
      <w:pPr>
        <w:pStyle w:val="76"/>
        <w:rPr>
          <w:szCs w:val="21"/>
        </w:rPr>
      </w:pPr>
    </w:p>
    <w:sdt>
      <w:sdtPr>
        <w:rPr>
          <w:rFonts w:cs="宋体" w:asciiTheme="minorHAnsi" w:hAnsiTheme="minorHAnsi"/>
          <w:b w:val="0"/>
          <w:bCs w:val="0"/>
          <w:kern w:val="0"/>
          <w:szCs w:val="22"/>
        </w:rPr>
        <w:alias w:val="模块:固定资产计价和折旧方法及减值准备的计提方法"/>
        <w:tag w:val="_GBC_a1560089c32f441f92e145c3cdc25289"/>
        <w:id w:val="25154366"/>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80"/>
            <w:numPr>
              <w:ilvl w:val="0"/>
              <w:numId w:val="39"/>
            </w:numPr>
            <w:rPr>
              <w:rFonts w:ascii="宋体" w:hAnsi="宋体"/>
              <w:szCs w:val="21"/>
            </w:rPr>
          </w:pPr>
          <w:r>
            <w:rPr>
              <w:rFonts w:hint="eastAsia" w:ascii="宋体" w:hAnsi="宋体"/>
              <w:szCs w:val="21"/>
            </w:rPr>
            <w:t>融资租入固定资产的认定依据、计价和折旧方法</w:t>
          </w:r>
        </w:p>
        <w:sdt>
          <w:sdtPr>
            <w:alias w:val="是否适用：融资租入固定资产的认定依据、计价和折旧方法[双击切换]"/>
            <w:tag w:val="_GBC_16fcfe6546324a2bb6bf5a46c9363b25"/>
            <w:id w:val="251543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5154365"/>
            <w:lock w:val="sdtLocked"/>
            <w:placeholder>
              <w:docPart w:val="GBC22222222222222222222222222222"/>
            </w:placeholder>
          </w:sdtPr>
          <w:sdtEndPr>
            <w:rPr>
              <w:rFonts w:hint="eastAsia"/>
              <w:szCs w:val="21"/>
            </w:rPr>
          </w:sdtEndPr>
          <w:sdtContent>
            <w:p>
              <w:pPr>
                <w:pStyle w:val="76"/>
                <w:rPr>
                  <w:szCs w:val="21"/>
                </w:rPr>
              </w:pPr>
              <w:r>
                <w:rPr>
                  <w:rFonts w:hint="eastAsia"/>
                  <w:szCs w:val="21"/>
                </w:rPr>
                <w:t>融资租入固定资产的认定依据为实质上转移了与资产所有权有关的全部风险和报酬的租赁。公司在承租开始日，将租赁资产公允价值与最低租赁付款额现值两者中较低者作为租入资产的入账价值，将最低租赁付款额作为长期应付款的入账价值，其差额作为未确认的融资费用。</w:t>
              </w:r>
              <w:r>
                <w:rPr>
                  <w:szCs w:val="21"/>
                </w:rPr>
                <w:t xml:space="preserve"> 公司采用实际利率法对未确认的融资费用，在资产租赁期间内摊销，计入财务费用。</w:t>
              </w:r>
            </w:p>
          </w:sdtContent>
        </w:sdt>
      </w:sdtContent>
    </w:sdt>
    <w:p>
      <w:pPr>
        <w:pStyle w:val="76"/>
        <w:rPr>
          <w:szCs w:val="21"/>
        </w:rPr>
      </w:pPr>
    </w:p>
    <w:sdt>
      <w:sdtPr>
        <w:rPr>
          <w:rFonts w:ascii="宋体" w:hAnsi="宋体" w:cs="宋体"/>
          <w:b w:val="0"/>
          <w:bCs w:val="0"/>
          <w:kern w:val="0"/>
          <w:szCs w:val="24"/>
        </w:rPr>
        <w:alias w:val="模块:在建工程会计处理方法"/>
        <w:tag w:val="_GBC_3eb5f960df3e47f0a4bf3af0bc67ca96"/>
        <w:id w:val="25154369"/>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在建工程</w:t>
          </w:r>
        </w:p>
        <w:p>
          <w:pPr>
            <w:pStyle w:val="76"/>
            <w:rPr>
              <w:szCs w:val="21"/>
            </w:rPr>
          </w:pPr>
          <w:sdt>
            <w:sdtPr>
              <w:rPr>
                <w:rFonts w:hint="eastAsia"/>
                <w:szCs w:val="21"/>
              </w:rPr>
              <w:alias w:val="是否适用：在建工程_重要会计政策和估计[双击切换]"/>
              <w:tag w:val="_GBC_d9803b41f65e4a7fbebb412a259d9bf9"/>
              <w:id w:val="25154367"/>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25154368"/>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本公司在建工程成本按实际工程支出确定，包括在建期间发生的各项必要工程支出、工程达到预定可使用状态前的应予资本化的借款费用以及其他相关费用等。</w:t>
              </w:r>
            </w:p>
            <w:p>
              <w:pPr>
                <w:pStyle w:val="76"/>
                <w:rPr>
                  <w:szCs w:val="21"/>
                </w:rPr>
              </w:pPr>
              <w:r>
                <w:rPr>
                  <w:rFonts w:hint="eastAsia"/>
                  <w:szCs w:val="21"/>
                </w:rPr>
                <w:t>在建工程在达到预定可使用状态时转入固定资产。</w:t>
              </w:r>
            </w:p>
          </w:sdtContent>
        </w:sdt>
        <w:p>
          <w:pPr>
            <w:pStyle w:val="76"/>
            <w:rPr>
              <w:szCs w:val="21"/>
            </w:rPr>
          </w:pPr>
        </w:p>
      </w:sdtContent>
    </w:sdt>
    <w:sdt>
      <w:sdtPr>
        <w:rPr>
          <w:rFonts w:cs="宋体" w:asciiTheme="minorHAnsi" w:hAnsiTheme="minorHAnsi"/>
          <w:b w:val="0"/>
          <w:bCs w:val="0"/>
          <w:kern w:val="0"/>
          <w:szCs w:val="22"/>
        </w:rPr>
        <w:alias w:val="模块:借款费用会计处理方法"/>
        <w:tag w:val="_GBC_e3e4d07ea08d4589a9293563ea655b42"/>
        <w:id w:val="25154372"/>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借款费用</w:t>
          </w:r>
        </w:p>
        <w:sdt>
          <w:sdtPr>
            <w:rPr>
              <w:rFonts w:hint="eastAsia"/>
              <w:szCs w:val="21"/>
            </w:rPr>
            <w:alias w:val="是否适用：借款费用_重要会计政策和估计[双击切换]"/>
            <w:tag w:val="_GBC_3f3db73e5cb247009b3840143b5e6627"/>
            <w:id w:val="25154370"/>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25154371"/>
            <w:lock w:val="sdtLocked"/>
            <w:placeholder>
              <w:docPart w:val="GBC22222222222222222222222222222"/>
            </w:placeholder>
          </w:sdtPr>
          <w:sdtEndPr>
            <w:rPr>
              <w:rFonts w:hint="eastAsia"/>
              <w:szCs w:val="21"/>
            </w:rPr>
          </w:sdtEndPr>
          <w:sdtContent>
            <w:p>
              <w:pPr>
                <w:pStyle w:val="76"/>
                <w:rPr>
                  <w:szCs w:val="21"/>
                </w:rPr>
              </w:pPr>
              <w:r>
                <w:rPr>
                  <w:rFonts w:hint="eastAsia"/>
                  <w:szCs w:val="21"/>
                </w:rPr>
                <w:t>（</w:t>
              </w:r>
              <w:r>
                <w:rPr>
                  <w:szCs w:val="21"/>
                </w:rPr>
                <w:t>1）借款费用资本化的确认原则</w:t>
              </w:r>
            </w:p>
            <w:p>
              <w:pPr>
                <w:pStyle w:val="76"/>
                <w:rPr>
                  <w:szCs w:val="21"/>
                </w:rPr>
              </w:pPr>
              <w:r>
                <w:rPr>
                  <w:rFonts w:hint="eastAsia"/>
                  <w:szCs w:val="21"/>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pPr>
                <w:pStyle w:val="76"/>
                <w:rPr>
                  <w:szCs w:val="21"/>
                </w:rPr>
              </w:pPr>
              <w:r>
                <w:rPr>
                  <w:szCs w:val="21"/>
                </w:rPr>
                <w:t xml:space="preserve">  ① 资产支出已经发生，资产支出包括为购建或者生产符合资本化条件的资产而以支付现金、转移非现金资产或者承担带息债务形式发生的支出；</w:t>
              </w:r>
            </w:p>
            <w:p>
              <w:pPr>
                <w:pStyle w:val="76"/>
                <w:rPr>
                  <w:szCs w:val="21"/>
                </w:rPr>
              </w:pPr>
              <w:r>
                <w:rPr>
                  <w:szCs w:val="21"/>
                </w:rPr>
                <w:t xml:space="preserve"> ② 借款费用已经发生；</w:t>
              </w:r>
            </w:p>
            <w:p>
              <w:pPr>
                <w:pStyle w:val="76"/>
                <w:rPr>
                  <w:szCs w:val="21"/>
                </w:rPr>
              </w:pPr>
              <w:r>
                <w:rPr>
                  <w:rFonts w:hint="eastAsia"/>
                  <w:szCs w:val="21"/>
                </w:rPr>
                <w:t>③</w:t>
              </w:r>
              <w:r>
                <w:rPr>
                  <w:szCs w:val="21"/>
                </w:rPr>
                <w:t xml:space="preserve"> 为使资产达到预定可使用或者可销售状态所必要的购建或者生产活动已经开始。</w:t>
              </w:r>
            </w:p>
            <w:p>
              <w:pPr>
                <w:pStyle w:val="76"/>
                <w:rPr>
                  <w:szCs w:val="21"/>
                </w:rPr>
              </w:pPr>
              <w:r>
                <w:rPr>
                  <w:szCs w:val="21"/>
                </w:rPr>
                <w:t xml:space="preserve"> （2）借款费用资本化期间</w:t>
              </w:r>
            </w:p>
            <w:p>
              <w:pPr>
                <w:pStyle w:val="76"/>
                <w:rPr>
                  <w:szCs w:val="21"/>
                </w:rPr>
              </w:pPr>
              <w:r>
                <w:rPr>
                  <w:szCs w:val="21"/>
                </w:rPr>
                <w:t xml:space="preserve"> 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pPr>
                <w:pStyle w:val="76"/>
                <w:rPr>
                  <w:szCs w:val="21"/>
                </w:rPr>
              </w:pPr>
              <w:r>
                <w:rPr>
                  <w:rFonts w:hint="eastAsia"/>
                  <w:szCs w:val="21"/>
                </w:rPr>
                <w:t>符合资本化条件的资产在购建或者生产过程中发生非正常中断、且中断时间连续超过</w:t>
              </w:r>
              <w:r>
                <w:rPr>
                  <w:szCs w:val="21"/>
                </w:rPr>
                <w:t>3个月的，暂停借款费用的资本化；正常中断期间的借款费用继续资本化。</w:t>
              </w:r>
            </w:p>
            <w:p>
              <w:pPr>
                <w:pStyle w:val="76"/>
                <w:rPr>
                  <w:szCs w:val="21"/>
                </w:rPr>
              </w:pPr>
              <w:r>
                <w:rPr>
                  <w:rFonts w:hint="eastAsia"/>
                  <w:szCs w:val="21"/>
                </w:rPr>
                <w:t>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sdtContent>
        </w:sdt>
        <w:p>
          <w:pPr>
            <w:pStyle w:val="76"/>
            <w:rPr>
              <w:szCs w:val="21"/>
            </w:rPr>
          </w:pPr>
        </w:p>
      </w:sdtContent>
    </w:sdt>
    <w:sdt>
      <w:sdtPr>
        <w:rPr>
          <w:rFonts w:cs="宋体" w:asciiTheme="minorHAnsi" w:hAnsiTheme="minorHAnsi"/>
          <w:b w:val="0"/>
          <w:bCs w:val="0"/>
          <w:kern w:val="0"/>
          <w:szCs w:val="22"/>
        </w:rPr>
        <w:alias w:val="模块:生物资产会计处理方法"/>
        <w:tag w:val="_GBC_0b83f813710f436286429917c8c39567"/>
        <w:id w:val="25154374"/>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生物资产</w:t>
          </w:r>
        </w:p>
        <w:sdt>
          <w:sdtPr>
            <w:rPr>
              <w:rFonts w:hint="eastAsia"/>
              <w:szCs w:val="21"/>
            </w:rPr>
            <w:alias w:val="是否适用：生物资产_重要会计政策和估计[双击切换]"/>
            <w:tag w:val="_GBC_3c525bb9dd0340978b83e74317a40315"/>
            <w:id w:val="2515437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sdt>
      <w:sdtPr>
        <w:rPr>
          <w:rFonts w:cs="宋体" w:asciiTheme="minorHAnsi" w:hAnsiTheme="minorHAnsi"/>
          <w:b w:val="0"/>
          <w:bCs w:val="0"/>
          <w:kern w:val="0"/>
          <w:szCs w:val="22"/>
        </w:rPr>
        <w:alias w:val="模块:油气资产会计处理方法"/>
        <w:tag w:val="_GBC_ed738d1d51d04aad8efd3fb3e88bf021"/>
        <w:id w:val="25154376"/>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油气资产</w:t>
          </w:r>
        </w:p>
        <w:sdt>
          <w:sdtPr>
            <w:rPr>
              <w:rFonts w:hint="eastAsia"/>
              <w:szCs w:val="21"/>
            </w:rPr>
            <w:alias w:val="是否适用：油气资产_重要会计政策和估计[双击切换]"/>
            <w:tag w:val="_GBC_60d99a70431c4b868b6e953077cbfe88"/>
            <w:id w:val="25154375"/>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sdt>
      <w:sdtPr>
        <w:rPr>
          <w:rFonts w:cs="宋体" w:asciiTheme="minorHAnsi" w:hAnsiTheme="minorHAnsi"/>
          <w:b w:val="0"/>
          <w:bCs w:val="0"/>
          <w:kern w:val="0"/>
          <w:szCs w:val="22"/>
        </w:rPr>
        <w:alias w:val="模块:无形资产会计处理方法"/>
        <w:tag w:val="_GBC_0a8b293ff9e94173b2e385f4ef2a8c89"/>
        <w:id w:val="25154381"/>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无形资产</w:t>
          </w:r>
        </w:p>
        <w:p>
          <w:pPr>
            <w:pStyle w:val="80"/>
            <w:numPr>
              <w:ilvl w:val="3"/>
              <w:numId w:val="40"/>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25154377"/>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25154378"/>
            <w:lock w:val="sdtLocked"/>
            <w:placeholder>
              <w:docPart w:val="GBC22222222222222222222222222222"/>
            </w:placeholder>
          </w:sdtPr>
          <w:sdtEndPr>
            <w:rPr>
              <w:szCs w:val="21"/>
            </w:rPr>
          </w:sdtEndPr>
          <w:sdtContent>
            <w:p>
              <w:pPr>
                <w:pStyle w:val="76"/>
                <w:rPr>
                  <w:szCs w:val="21"/>
                </w:rPr>
              </w:pPr>
              <w:r>
                <w:rPr>
                  <w:rFonts w:hint="eastAsia"/>
                  <w:szCs w:val="21"/>
                </w:rPr>
                <w:t>无形资产按照取得成本进行初始计量。对使用寿命有限的无形资产，在受益期内平均摊销。每年度末，对其使用寿命进行复核，若与以前估计不同的，改变摊销期限。</w:t>
              </w:r>
            </w:p>
            <w:p>
              <w:pPr>
                <w:pStyle w:val="76"/>
                <w:rPr>
                  <w:szCs w:val="21"/>
                </w:rPr>
              </w:pPr>
              <w:r>
                <w:rPr>
                  <w:rFonts w:hint="eastAsia"/>
                  <w:szCs w:val="21"/>
                </w:rPr>
                <w:t>对使用寿命不确定的无形资产不摊销。</w:t>
              </w:r>
            </w:p>
            <w:p>
              <w:pPr>
                <w:pStyle w:val="76"/>
                <w:rPr>
                  <w:szCs w:val="21"/>
                </w:rPr>
              </w:pPr>
              <w:r>
                <w:rPr>
                  <w:rFonts w:hint="eastAsia"/>
                  <w:szCs w:val="21"/>
                </w:rPr>
                <w:t>年末对无形资产逐项进行检查，如果其可收回金额低于账面价值，则按单项无形资产可收回金额低于其账面价值的差额，计提无形资产减值准备。无形资产减值准备一经计提，不予转回。</w:t>
              </w:r>
            </w:p>
          </w:sdtContent>
        </w:sdt>
        <w:p>
          <w:pPr>
            <w:pStyle w:val="76"/>
            <w:rPr>
              <w:szCs w:val="21"/>
            </w:rPr>
          </w:pPr>
        </w:p>
        <w:p>
          <w:pPr>
            <w:pStyle w:val="80"/>
            <w:numPr>
              <w:ilvl w:val="3"/>
              <w:numId w:val="40"/>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2515437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25154380"/>
            <w:lock w:val="sdtLocked"/>
            <w:placeholder>
              <w:docPart w:val="GBC22222222222222222222222222222"/>
            </w:placeholder>
          </w:sdtPr>
          <w:sdtEndPr>
            <w:rPr>
              <w:szCs w:val="21"/>
            </w:rPr>
          </w:sdtEndPr>
          <w:sdtContent>
            <w:p>
              <w:pPr>
                <w:pStyle w:val="76"/>
                <w:rPr>
                  <w:szCs w:val="21"/>
                </w:rPr>
              </w:pPr>
              <w:r>
                <w:rPr>
                  <w:rFonts w:hint="eastAsia"/>
                  <w:szCs w:val="21"/>
                </w:rPr>
                <w:t>本公司将内部研究开发项目的支出，区分为研究阶段支出和开发阶段支出。</w:t>
              </w:r>
            </w:p>
            <w:p>
              <w:pPr>
                <w:pStyle w:val="76"/>
                <w:rPr>
                  <w:szCs w:val="21"/>
                </w:rPr>
              </w:pPr>
              <w:r>
                <w:rPr>
                  <w:rFonts w:hint="eastAsia"/>
                  <w:szCs w:val="21"/>
                </w:rPr>
                <w:t>研究阶段的支出，于发生时计入当期损益。</w:t>
              </w:r>
            </w:p>
            <w:p>
              <w:pPr>
                <w:pStyle w:val="76"/>
                <w:rPr>
                  <w:szCs w:val="21"/>
                </w:rPr>
              </w:pPr>
              <w:r>
                <w:rPr>
                  <w:rFonts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pPr>
                <w:pStyle w:val="76"/>
                <w:rPr>
                  <w:szCs w:val="21"/>
                </w:rPr>
              </w:pPr>
              <w:r>
                <w:rPr>
                  <w:rFonts w:hint="eastAsia"/>
                  <w:szCs w:val="21"/>
                </w:rPr>
                <w:t>本公司研究开发项目在满足上述条件，通过技术可行性及经济可行性研究，形成项目立项后，进入开发阶段。</w:t>
              </w:r>
            </w:p>
            <w:p>
              <w:pPr>
                <w:pStyle w:val="76"/>
                <w:rPr>
                  <w:szCs w:val="21"/>
                </w:rPr>
              </w:pPr>
              <w:r>
                <w:rPr>
                  <w:rFonts w:hint="eastAsia"/>
                  <w:szCs w:val="21"/>
                </w:rPr>
                <w:t>已资本化的开发阶段的支出在资产负债表上列示为开发支出，自该项目达到预定可使用状态之日转为无形资产</w:t>
              </w:r>
            </w:p>
          </w:sdtContent>
        </w:sdt>
      </w:sdtContent>
    </w:sdt>
    <w:p>
      <w:pPr>
        <w:pStyle w:val="76"/>
        <w:rPr>
          <w:szCs w:val="21"/>
        </w:rPr>
      </w:pPr>
    </w:p>
    <w:sdt>
      <w:sdtPr>
        <w:rPr>
          <w:rFonts w:hint="eastAsia" w:ascii="宋体" w:hAnsi="宋体" w:cs="宋体"/>
          <w:b w:val="0"/>
          <w:bCs w:val="0"/>
          <w:kern w:val="0"/>
          <w:szCs w:val="21"/>
        </w:rPr>
        <w:alias w:val="模块:非金融长期资产减值"/>
        <w:tag w:val="_GBC_da2f3f0531094e5e9dcd987c45223bec"/>
        <w:id w:val="2515438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25154382"/>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25154383"/>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本公司于资产负债表日判断资产是否存在可能发生减值的迹象，存在减值迹象的，本公司将估计其可收回金额，进行减值测试。</w:t>
              </w:r>
            </w:p>
            <w:p>
              <w:pPr>
                <w:pStyle w:val="76"/>
                <w:rPr>
                  <w:szCs w:val="21"/>
                </w:rPr>
              </w:pPr>
              <w:r>
                <w:rPr>
                  <w:rFonts w:hint="eastAsia"/>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pPr>
                <w:pStyle w:val="76"/>
                <w:rPr>
                  <w:szCs w:val="21"/>
                </w:rPr>
              </w:pPr>
              <w:r>
                <w:rPr>
                  <w:rFonts w:hint="eastAsia"/>
                  <w:szCs w:val="21"/>
                </w:rPr>
                <w:t>当资产或资产组的可收回金额低于其账面价值时，本公司将其账面价值减记至可收回金额，减记的金额计入当期损益，同时计提相应的资产减值准备。</w:t>
              </w:r>
            </w:p>
            <w:p>
              <w:pPr>
                <w:pStyle w:val="76"/>
                <w:rPr>
                  <w:szCs w:val="21"/>
                </w:rPr>
              </w:pPr>
              <w:r>
                <w:rPr>
                  <w:rFonts w:hint="eastAsia"/>
                  <w:szCs w:val="21"/>
                </w:rPr>
                <w:t>资产减值损失一经确认，在以后会计期间不再转回。</w:t>
              </w:r>
            </w:p>
          </w:sdtContent>
        </w:sdt>
      </w:sdtContent>
    </w:sdt>
    <w:p>
      <w:pPr>
        <w:pStyle w:val="76"/>
        <w:rPr>
          <w:szCs w:val="21"/>
        </w:rPr>
      </w:pPr>
    </w:p>
    <w:sdt>
      <w:sdtPr>
        <w:rPr>
          <w:rFonts w:cs="宋体" w:asciiTheme="minorHAnsi" w:hAnsiTheme="minorHAnsi"/>
          <w:b w:val="0"/>
          <w:bCs w:val="0"/>
          <w:kern w:val="0"/>
          <w:szCs w:val="22"/>
        </w:rPr>
        <w:alias w:val="模块:长期待摊费用会计处理方法"/>
        <w:tag w:val="_GBC_fffe6f948ebb468ba812d16acce5c0b9"/>
        <w:id w:val="25154386"/>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长期待摊费用</w:t>
          </w:r>
        </w:p>
        <w:sdt>
          <w:sdtPr>
            <w:rPr>
              <w:rFonts w:hint="eastAsia"/>
              <w:szCs w:val="21"/>
            </w:rPr>
            <w:alias w:val="是否适用：长期待摊费用_重要会计政策和估计[双击切换]"/>
            <w:tag w:val="_GBC_285460052d954f1e8417bf2295b41abe"/>
            <w:id w:val="25154385"/>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Theme="minorHAnsi" w:hAnsiTheme="minorHAnsi" w:cstheme="minorBidi"/>
          <w:b w:val="0"/>
          <w:bCs w:val="0"/>
          <w:kern w:val="0"/>
          <w:szCs w:val="22"/>
        </w:rPr>
        <w:alias w:val="模块:职工薪酬"/>
        <w:tag w:val="_GBC_8ec8855eb4d5447ab785e4bd4b0b73aa"/>
        <w:id w:val="25154395"/>
        <w:lock w:val="sdtLocked"/>
        <w:placeholder>
          <w:docPart w:val="GBC22222222222222222222222222222"/>
        </w:placeholder>
      </w:sdtPr>
      <w:sdtEndPr>
        <w:rPr>
          <w:rFonts w:hint="eastAsia" w:ascii="宋体" w:hAnsi="宋体" w:cs="Times New Roman"/>
          <w:b w:val="0"/>
          <w:bCs w:val="0"/>
          <w:kern w:val="0"/>
          <w:szCs w:val="21"/>
        </w:rPr>
      </w:sdtEndPr>
      <w:sdtContent>
        <w:p>
          <w:pPr>
            <w:pStyle w:val="79"/>
            <w:numPr>
              <w:ilvl w:val="0"/>
              <w:numId w:val="37"/>
            </w:numPr>
          </w:pPr>
          <w:r>
            <w:rPr>
              <w:rFonts w:hint="eastAsia"/>
            </w:rPr>
            <w:t>职工薪酬</w:t>
          </w:r>
        </w:p>
        <w:p>
          <w:pPr>
            <w:pStyle w:val="80"/>
            <w:numPr>
              <w:ilvl w:val="0"/>
              <w:numId w:val="41"/>
            </w:numPr>
          </w:pPr>
          <w:r>
            <w:rPr>
              <w:rFonts w:hint="eastAsia"/>
            </w:rPr>
            <w:t>短期薪酬的会计处理方法</w:t>
          </w:r>
        </w:p>
        <w:sdt>
          <w:sdtPr>
            <w:alias w:val="是否适用：短期薪酬的会计处理方法[双击切换]"/>
            <w:tag w:val="_GBC_eefed2a465e349b6a35598930bd9541d"/>
            <w:id w:val="2515438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短期薪酬的会计处理方法"/>
            <w:tag w:val="_GBC_8fdf44b194ac45fb945d36b9896df796"/>
            <w:id w:val="25154388"/>
            <w:lock w:val="sdtLocked"/>
            <w:placeholder>
              <w:docPart w:val="GBC22222222222222222222222222222"/>
            </w:placeholder>
          </w:sdtPr>
          <w:sdtEndPr>
            <w:rPr>
              <w:szCs w:val="21"/>
            </w:rPr>
          </w:sdtEndPr>
          <w:sdtContent>
            <w:p>
              <w:pPr>
                <w:pStyle w:val="76"/>
                <w:rPr>
                  <w:szCs w:val="21"/>
                </w:rPr>
              </w:pPr>
              <w:r>
                <w:rPr>
                  <w:rFonts w:hint="eastAsia"/>
                  <w:szCs w:val="21"/>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pPr>
            <w:pStyle w:val="76"/>
            <w:rPr>
              <w:szCs w:val="21"/>
            </w:rPr>
          </w:pPr>
        </w:p>
        <w:p>
          <w:pPr>
            <w:pStyle w:val="80"/>
            <w:numPr>
              <w:ilvl w:val="0"/>
              <w:numId w:val="41"/>
            </w:numPr>
          </w:pPr>
          <w:r>
            <w:rPr>
              <w:rFonts w:hint="eastAsia"/>
            </w:rPr>
            <w:t>离职后福利的会计处理方法</w:t>
          </w:r>
        </w:p>
        <w:sdt>
          <w:sdtPr>
            <w:rPr>
              <w:rFonts w:hint="eastAsia"/>
              <w:szCs w:val="21"/>
            </w:rPr>
            <w:alias w:val="是否适用：离职后福利的会计处理方法[双击切换]"/>
            <w:tag w:val="_GBC_35bbae299fda438d9e595058bbecbcdc"/>
            <w:id w:val="2515438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25154390"/>
            <w:lock w:val="sdtLocked"/>
            <w:placeholder>
              <w:docPart w:val="GBC22222222222222222222222222222"/>
            </w:placeholder>
          </w:sdtPr>
          <w:sdtEndPr>
            <w:rPr>
              <w:szCs w:val="21"/>
            </w:rPr>
          </w:sdtEndPr>
          <w:sdtContent>
            <w:p>
              <w:pPr>
                <w:pStyle w:val="76"/>
                <w:rPr>
                  <w:szCs w:val="21"/>
                </w:rPr>
              </w:pPr>
              <w:r>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pPr>
            <w:pStyle w:val="76"/>
            <w:rPr>
              <w:szCs w:val="21"/>
            </w:rPr>
          </w:pPr>
        </w:p>
        <w:p>
          <w:pPr>
            <w:pStyle w:val="80"/>
            <w:numPr>
              <w:ilvl w:val="0"/>
              <w:numId w:val="41"/>
            </w:numPr>
          </w:pPr>
          <w:r>
            <w:rPr>
              <w:rFonts w:hint="eastAsia"/>
            </w:rPr>
            <w:t>辞退福利的会计处理方法</w:t>
          </w:r>
        </w:p>
        <w:sdt>
          <w:sdtPr>
            <w:rPr>
              <w:rFonts w:hint="eastAsia"/>
              <w:szCs w:val="21"/>
            </w:rPr>
            <w:alias w:val="是否适用：辞退福利的会计处理方法[双击切换]"/>
            <w:tag w:val="_GBC_b6be1c30b6144d54b0e20b3cb9d3a691"/>
            <w:id w:val="2515439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25154392"/>
            <w:lock w:val="sdtLocked"/>
            <w:placeholder>
              <w:docPart w:val="GBC22222222222222222222222222222"/>
            </w:placeholder>
          </w:sdtPr>
          <w:sdtEndPr>
            <w:rPr>
              <w:szCs w:val="21"/>
            </w:rPr>
          </w:sdtEndPr>
          <w:sdtContent>
            <w:p>
              <w:pPr>
                <w:pStyle w:val="76"/>
                <w:rPr>
                  <w:szCs w:val="21"/>
                </w:rPr>
              </w:pPr>
              <w:r>
                <w:rPr>
                  <w:rFonts w:hint="eastAsia"/>
                  <w:szCs w:val="21"/>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pPr>
            <w:pStyle w:val="76"/>
            <w:rPr>
              <w:szCs w:val="21"/>
            </w:rPr>
          </w:pPr>
        </w:p>
        <w:p>
          <w:pPr>
            <w:pStyle w:val="80"/>
            <w:numPr>
              <w:ilvl w:val="0"/>
              <w:numId w:val="41"/>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2515439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25154394"/>
            <w:lock w:val="sdtLocked"/>
            <w:placeholder>
              <w:docPart w:val="GBC22222222222222222222222222222"/>
            </w:placeholder>
          </w:sdtPr>
          <w:sdtEndPr>
            <w:rPr>
              <w:szCs w:val="21"/>
            </w:rPr>
          </w:sdtEndPr>
          <w:sdtContent>
            <w:p>
              <w:pPr>
                <w:pStyle w:val="76"/>
                <w:rPr>
                  <w:rFonts w:cs="Times New Roman"/>
                  <w:szCs w:val="21"/>
                </w:rPr>
              </w:pPr>
              <w:r>
                <w:rPr>
                  <w:rFonts w:hint="eastAsia"/>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pPr>
        <w:pStyle w:val="76"/>
        <w:rPr>
          <w:szCs w:val="21"/>
        </w:rPr>
      </w:pPr>
    </w:p>
    <w:sdt>
      <w:sdtPr>
        <w:rPr>
          <w:rFonts w:ascii="宋体" w:hAnsi="宋体" w:cs="宋体"/>
          <w:b w:val="0"/>
          <w:bCs w:val="0"/>
          <w:kern w:val="0"/>
          <w:szCs w:val="24"/>
        </w:rPr>
        <w:alias w:val="模块:预计负债会计处理方法"/>
        <w:tag w:val="_GBC_b5b71a4d3cc1425c80f55e751e7e18c2"/>
        <w:id w:val="25154398"/>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预计负债</w:t>
          </w:r>
        </w:p>
        <w:sdt>
          <w:sdtPr>
            <w:rPr>
              <w:rFonts w:hint="eastAsia"/>
              <w:szCs w:val="21"/>
            </w:rPr>
            <w:alias w:val="是否适用：预计负债_重要会计政策和估计[双击切换]"/>
            <w:tag w:val="_GBC_60f7f598e5d5458986c0f06775dc38fd"/>
            <w:id w:val="25154396"/>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25154397"/>
            <w:lock w:val="sdtLocked"/>
            <w:placeholder>
              <w:docPart w:val="GBC22222222222222222222222222222"/>
            </w:placeholder>
          </w:sdtPr>
          <w:sdtEndPr>
            <w:rPr>
              <w:rFonts w:hint="eastAsia"/>
              <w:szCs w:val="21"/>
            </w:rPr>
          </w:sdtEndPr>
          <w:sdtContent>
            <w:p>
              <w:pPr>
                <w:pStyle w:val="76"/>
                <w:rPr>
                  <w:szCs w:val="21"/>
                </w:rPr>
              </w:pPr>
              <w:r>
                <w:rPr>
                  <w:rFonts w:hint="eastAsia"/>
                  <w:szCs w:val="21"/>
                </w:rPr>
                <w:t>如果与或有事项相关的义务同时符合以下条件，本公司将其确认为预计负债：</w:t>
              </w:r>
            </w:p>
            <w:p>
              <w:pPr>
                <w:pStyle w:val="76"/>
                <w:rPr>
                  <w:szCs w:val="21"/>
                </w:rPr>
              </w:pPr>
              <w:r>
                <w:rPr>
                  <w:szCs w:val="21"/>
                </w:rPr>
                <w:t xml:space="preserve">   （1）该义务是本公司承担的现时义务；</w:t>
              </w:r>
            </w:p>
            <w:p>
              <w:pPr>
                <w:pStyle w:val="76"/>
                <w:rPr>
                  <w:szCs w:val="21"/>
                </w:rPr>
              </w:pPr>
              <w:r>
                <w:rPr>
                  <w:szCs w:val="21"/>
                </w:rPr>
                <w:t xml:space="preserve">   （2）该义务的履行很可能导致经济利益流出本公司；</w:t>
              </w:r>
            </w:p>
            <w:p>
              <w:pPr>
                <w:pStyle w:val="76"/>
                <w:rPr>
                  <w:szCs w:val="21"/>
                </w:rPr>
              </w:pPr>
              <w:r>
                <w:rPr>
                  <w:szCs w:val="21"/>
                </w:rPr>
                <w:t xml:space="preserve">   （3）该义务的金额能够可靠地计量。</w:t>
              </w:r>
            </w:p>
            <w:p>
              <w:pPr>
                <w:pStyle w:val="76"/>
                <w:rPr>
                  <w:szCs w:val="21"/>
                </w:rPr>
              </w:pPr>
              <w:r>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pPr>
                <w:pStyle w:val="76"/>
                <w:rPr>
                  <w:szCs w:val="21"/>
                </w:rPr>
              </w:pPr>
              <w:r>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sdtContent>
    </w:sdt>
    <w:p>
      <w:pPr>
        <w:pStyle w:val="76"/>
        <w:rPr>
          <w:szCs w:val="21"/>
        </w:rPr>
      </w:pPr>
    </w:p>
    <w:sdt>
      <w:sdtPr>
        <w:rPr>
          <w:rFonts w:hint="eastAsia" w:asciiTheme="minorHAnsi" w:hAnsiTheme="minorHAnsi" w:cstheme="minorBidi"/>
          <w:b w:val="0"/>
          <w:bCs w:val="0"/>
          <w:kern w:val="0"/>
          <w:szCs w:val="22"/>
        </w:rPr>
        <w:alias w:val="模块:股份支付"/>
        <w:tag w:val="_GBC_5300d3ce4b5f4c1690fe13bde0a610e3"/>
        <w:id w:val="25154400"/>
        <w:lock w:val="sdtLocked"/>
        <w:placeholder>
          <w:docPart w:val="GBC22222222222222222222222222222"/>
        </w:placeholder>
      </w:sdtPr>
      <w:sdtEndPr>
        <w:rPr>
          <w:rFonts w:hint="eastAsia" w:ascii="宋体" w:hAnsi="宋体" w:cs="Times New Roman"/>
          <w:b w:val="0"/>
          <w:bCs w:val="0"/>
          <w:kern w:val="0"/>
          <w:szCs w:val="21"/>
        </w:rPr>
      </w:sdtEndPr>
      <w:sdtContent>
        <w:p>
          <w:pPr>
            <w:pStyle w:val="79"/>
            <w:numPr>
              <w:ilvl w:val="0"/>
              <w:numId w:val="37"/>
            </w:numPr>
          </w:pPr>
          <w:r>
            <w:rPr>
              <w:rFonts w:hint="eastAsia"/>
            </w:rPr>
            <w:t>股份支付</w:t>
          </w:r>
        </w:p>
        <w:sdt>
          <w:sdtPr>
            <w:rPr>
              <w:rFonts w:hint="eastAsia"/>
              <w:szCs w:val="21"/>
            </w:rPr>
            <w:alias w:val="是否适用：股份支付_重要会计政策和估计[双击切换]"/>
            <w:tag w:val="_GBC_cfe00a6b35f24950855f2412f34bcf7a"/>
            <w:id w:val="2515439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Theme="minorHAnsi" w:hAnsiTheme="minorHAnsi" w:cstheme="minorBidi"/>
          <w:b w:val="0"/>
          <w:bCs w:val="0"/>
          <w:kern w:val="0"/>
          <w:szCs w:val="22"/>
        </w:rPr>
        <w:alias w:val="模块:优先股、永续债"/>
        <w:tag w:val="_GBC_d3c9524999e647d78f354bb216cfb1aa"/>
        <w:id w:val="25154402"/>
        <w:lock w:val="sdtLocked"/>
        <w:placeholder>
          <w:docPart w:val="GBC22222222222222222222222222222"/>
        </w:placeholder>
      </w:sdtPr>
      <w:sdtEndPr>
        <w:rPr>
          <w:rFonts w:hint="eastAsia" w:ascii="宋体" w:hAnsi="宋体" w:cs="Times New Roman"/>
          <w:b w:val="0"/>
          <w:bCs w:val="0"/>
          <w:kern w:val="0"/>
          <w:szCs w:val="21"/>
        </w:rPr>
      </w:sdtEndPr>
      <w:sdtContent>
        <w:p>
          <w:pPr>
            <w:pStyle w:val="79"/>
            <w:numPr>
              <w:ilvl w:val="0"/>
              <w:numId w:val="37"/>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2515440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cs="宋体" w:asciiTheme="minorHAnsi" w:hAnsiTheme="minorHAnsi"/>
          <w:b w:val="0"/>
          <w:bCs w:val="0"/>
          <w:kern w:val="0"/>
          <w:szCs w:val="22"/>
        </w:rPr>
        <w:alias w:val="模块:收入会计处理方法"/>
        <w:tag w:val="_GBC_19704df9fd714cad895419bf4903f70e"/>
        <w:id w:val="25154405"/>
        <w:lock w:val="sdtLocked"/>
        <w:placeholder>
          <w:docPart w:val="GBC22222222222222222222222222222"/>
        </w:placeholder>
      </w:sdtPr>
      <w:sdtEndPr>
        <w:rPr>
          <w:rFonts w:ascii="宋体" w:hAnsi="宋体" w:cs="Times New Roman"/>
          <w:b w:val="0"/>
          <w:bCs w:val="0"/>
          <w:kern w:val="2"/>
          <w:szCs w:val="21"/>
        </w:rPr>
      </w:sdtEndPr>
      <w:sdtContent>
        <w:p>
          <w:pPr>
            <w:pStyle w:val="79"/>
            <w:numPr>
              <w:ilvl w:val="0"/>
              <w:numId w:val="37"/>
            </w:numPr>
          </w:pPr>
          <w:r>
            <w:t>收入</w:t>
          </w:r>
        </w:p>
        <w:sdt>
          <w:sdtPr>
            <w:rPr>
              <w:rFonts w:hint="eastAsia"/>
              <w:szCs w:val="21"/>
            </w:rPr>
            <w:alias w:val="是否适用：收入_重要会计政策和估计[双击切换]"/>
            <w:tag w:val="_GBC_0e5e3767d66c49cf85e220c4213118bd"/>
            <w:id w:val="2515440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25154404"/>
            <w:lock w:val="sdtLocked"/>
            <w:placeholder>
              <w:docPart w:val="GBC22222222222222222222222222222"/>
            </w:placeholder>
          </w:sdtPr>
          <w:sdtEndPr>
            <w:rPr>
              <w:szCs w:val="21"/>
            </w:rPr>
          </w:sdtEndPr>
          <w:sdtContent>
            <w:p>
              <w:pPr>
                <w:pStyle w:val="76"/>
                <w:rPr>
                  <w:szCs w:val="21"/>
                </w:rPr>
              </w:pPr>
              <w:r>
                <w:rPr>
                  <w:rFonts w:hint="eastAsia"/>
                  <w:szCs w:val="21"/>
                </w:rPr>
                <w:t>（</w:t>
              </w:r>
              <w:r>
                <w:rPr>
                  <w:szCs w:val="21"/>
                </w:rPr>
                <w:t>1）一般原则</w:t>
              </w:r>
            </w:p>
            <w:p>
              <w:pPr>
                <w:pStyle w:val="76"/>
                <w:rPr>
                  <w:szCs w:val="21"/>
                </w:rPr>
              </w:pPr>
              <w:r>
                <w:rPr>
                  <w:szCs w:val="21"/>
                </w:rPr>
                <w:t xml:space="preserve"> ①销售商品</w:t>
              </w:r>
            </w:p>
            <w:p>
              <w:pPr>
                <w:pStyle w:val="76"/>
                <w:rPr>
                  <w:szCs w:val="21"/>
                </w:rPr>
              </w:pPr>
              <w:r>
                <w:rPr>
                  <w:szCs w:val="21"/>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pPr>
                <w:pStyle w:val="76"/>
                <w:rPr>
                  <w:szCs w:val="21"/>
                </w:rPr>
              </w:pPr>
              <w:r>
                <w:rPr>
                  <w:szCs w:val="21"/>
                </w:rPr>
                <w:t xml:space="preserve"> ②提供劳务</w:t>
              </w:r>
            </w:p>
            <w:p>
              <w:pPr>
                <w:pStyle w:val="76"/>
                <w:rPr>
                  <w:szCs w:val="21"/>
                </w:rPr>
              </w:pPr>
              <w:r>
                <w:rPr>
                  <w:szCs w:val="21"/>
                </w:rPr>
                <w:t xml:space="preserve"> 对在提供劳务交易的结果能够可靠估计的情况下，本公司于资产负债表日按完工百分比法确认收入。</w:t>
              </w:r>
            </w:p>
            <w:p>
              <w:pPr>
                <w:pStyle w:val="76"/>
                <w:rPr>
                  <w:szCs w:val="21"/>
                </w:rPr>
              </w:pPr>
              <w:r>
                <w:rPr>
                  <w:rFonts w:hint="eastAsia"/>
                  <w:szCs w:val="21"/>
                </w:rPr>
                <w:t>劳务交易的完工进度按已经提供的劳务占应提供劳务总量的比例确定。提供劳务交易的结果能够可靠估计是指同时满足：</w:t>
              </w:r>
              <w:r>
                <w:rPr>
                  <w:szCs w:val="21"/>
                </w:rPr>
                <w:t>A、收入的金额能够可靠地计量；B、相关的经济利益很可能流入企业；C、交易的完工程度能够可靠地确定；D、交易中已发生和将发生的成本能够可靠地计量。</w:t>
              </w:r>
            </w:p>
            <w:p>
              <w:pPr>
                <w:pStyle w:val="76"/>
                <w:rPr>
                  <w:szCs w:val="21"/>
                </w:rPr>
              </w:pPr>
              <w:r>
                <w:rPr>
                  <w:rFonts w:hint="eastAsia"/>
                  <w:szCs w:val="21"/>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pPr>
                <w:pStyle w:val="76"/>
                <w:rPr>
                  <w:szCs w:val="21"/>
                </w:rPr>
              </w:pPr>
              <w:r>
                <w:rPr>
                  <w:szCs w:val="21"/>
                </w:rPr>
                <w:t xml:space="preserve"> ③让渡资产使用权</w:t>
              </w:r>
            </w:p>
            <w:p>
              <w:pPr>
                <w:pStyle w:val="76"/>
                <w:rPr>
                  <w:szCs w:val="21"/>
                </w:rPr>
              </w:pPr>
              <w:r>
                <w:rPr>
                  <w:szCs w:val="21"/>
                </w:rPr>
                <w:t xml:space="preserve"> 与资产使用权让渡相关的经济利益能够流入及收入的金额能够可靠地计量时，本公司确认收入。</w:t>
              </w:r>
            </w:p>
            <w:p>
              <w:pPr>
                <w:pStyle w:val="76"/>
                <w:rPr>
                  <w:szCs w:val="21"/>
                </w:rPr>
              </w:pPr>
              <w:r>
                <w:rPr>
                  <w:rFonts w:hint="eastAsia"/>
                  <w:szCs w:val="21"/>
                </w:rPr>
                <w:t>（</w:t>
              </w:r>
              <w:r>
                <w:rPr>
                  <w:szCs w:val="21"/>
                </w:rPr>
                <w:t>2）收入确认的具体方法</w:t>
              </w:r>
            </w:p>
            <w:p>
              <w:pPr>
                <w:pStyle w:val="76"/>
                <w:rPr>
                  <w:szCs w:val="21"/>
                </w:rPr>
              </w:pPr>
              <w:r>
                <w:rPr>
                  <w:szCs w:val="21"/>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pPr>
                <w:pStyle w:val="76"/>
                <w:rPr>
                  <w:szCs w:val="21"/>
                </w:rPr>
              </w:pPr>
              <w:r>
                <w:rPr>
                  <w:szCs w:val="21"/>
                </w:rPr>
                <w:t xml:space="preserve"> 本公司在销售工程材料、耐火材料及其他材料时，在同时满足下列条件下，确认销售收入，即：①商品已发货；②已收取货款或取得收款权利；③相关的已发生或将发生的成本能够可靠地计量。</w:t>
              </w:r>
            </w:p>
          </w:sdtContent>
        </w:sdt>
      </w:sdtContent>
    </w:sdt>
    <w:p>
      <w:pPr>
        <w:pStyle w:val="76"/>
        <w:rPr>
          <w:szCs w:val="21"/>
        </w:rPr>
      </w:pPr>
    </w:p>
    <w:sdt>
      <w:sdtPr>
        <w:rPr>
          <w:rFonts w:ascii="宋体" w:hAnsi="宋体" w:cs="宋体"/>
          <w:b w:val="0"/>
          <w:bCs w:val="0"/>
          <w:kern w:val="0"/>
          <w:szCs w:val="24"/>
        </w:rPr>
        <w:alias w:val="模块:政府补助会计处理方法"/>
        <w:tag w:val="_GBC_b03bd816e50b42ae97b660897ca33234"/>
        <w:id w:val="25154410"/>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37"/>
            </w:numPr>
          </w:pPr>
          <w:r>
            <w:t>政府补助</w:t>
          </w:r>
        </w:p>
        <w:p>
          <w:pPr>
            <w:pStyle w:val="76"/>
          </w:pPr>
          <w:r>
            <w:rPr>
              <w:rFonts w:hint="eastAsia"/>
            </w:rPr>
            <w:t>政府补助是指公司从政府无偿取得货币性资产或非货币性资产，具有以下两大特征：①来源于政府的经济资源，②无偿性。</w:t>
          </w:r>
        </w:p>
        <w:p>
          <w:pPr>
            <w:pStyle w:val="76"/>
          </w:pPr>
          <w:r>
            <w:rPr>
              <w:rFonts w:hint="eastAsia"/>
            </w:rPr>
            <w:t>（</w:t>
          </w:r>
          <w:r>
            <w:t>1）确认和计量的基本条件</w:t>
          </w:r>
        </w:p>
        <w:p>
          <w:pPr>
            <w:pStyle w:val="76"/>
          </w:pPr>
          <w:r>
            <w:rPr>
              <w:rFonts w:hint="eastAsia"/>
            </w:rPr>
            <w:t>①政府补助同时满足下列条件的，才能予以确认：</w:t>
          </w:r>
          <w:r>
            <w:t>A、公司能够满足政府补助所附条件;B、公司能够收到政府补助。</w:t>
          </w:r>
        </w:p>
        <w:p>
          <w:pPr>
            <w:pStyle w:val="76"/>
          </w:pPr>
          <w:r>
            <w:rPr>
              <w:rFonts w:hint="eastAsia"/>
            </w:rPr>
            <w:t>②政府补助为货币性资产的，应当按照收到或应收的金额计量。政府补助为非货币性资产的，应当按照公允价值计量</w:t>
          </w:r>
          <w:r>
            <w:t>;公允价值不能可靠取得的，按照名义金额（1元）计量。</w:t>
          </w:r>
        </w:p>
        <w:p>
          <w:pPr>
            <w:pStyle w:val="76"/>
          </w:pPr>
          <w:r>
            <w:rPr>
              <w:rFonts w:hint="eastAsia"/>
            </w:rPr>
            <w:t>（</w:t>
          </w:r>
          <w:r>
            <w:t>2）账务处理</w:t>
          </w:r>
        </w:p>
        <w:p>
          <w:pPr>
            <w:pStyle w:val="76"/>
          </w:pPr>
          <w:r>
            <w:rPr>
              <w:rFonts w:hint="eastAsia"/>
            </w:rPr>
            <w:t>公司采用总额法核算政府补助，增设损益类科目“其他收益”。</w:t>
          </w:r>
        </w:p>
        <w:p>
          <w:pPr>
            <w:pStyle w:val="76"/>
          </w:pPr>
          <w:r>
            <w:rPr>
              <w:rFonts w:hint="eastAsia"/>
            </w:rPr>
            <w:t>收到政府补助时，应按照经济业务实质判断是否与企业日常活动相关：与企业日常活动相关的政府补助，计入递延收益或其他收益；与企业日常活动无关的政府补助，计入递延收益或营业外收入。日常活动，是指企业为完成其经营目标所从事的经常性活动以及与之相关的活动。</w:t>
          </w:r>
        </w:p>
        <w:p>
          <w:pPr>
            <w:pStyle w:val="76"/>
          </w:pPr>
        </w:p>
        <w:p>
          <w:pPr>
            <w:pStyle w:val="80"/>
            <w:numPr>
              <w:ilvl w:val="0"/>
              <w:numId w:val="42"/>
            </w:numPr>
          </w:pPr>
          <w:r>
            <w:rPr>
              <w:rFonts w:hint="eastAsia"/>
            </w:rPr>
            <w:t>与资产相关的政府补助判断依据及会计处理方法</w:t>
          </w:r>
        </w:p>
        <w:sdt>
          <w:sdtPr>
            <w:alias w:val="是否适用：与资产相关的政府补助判断依据及会计处理方法[双击切换]"/>
            <w:tag w:val="_GBC_f1716af9377d488499be19648ce3a1e1"/>
            <w:id w:val="2515440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资产相关的政府补助判断依据及会计处理方法"/>
            <w:tag w:val="_GBC_cd66a39ff16b420ab048fe3969a2b94e"/>
            <w:id w:val="25154407"/>
            <w:lock w:val="sdtLocked"/>
            <w:placeholder>
              <w:docPart w:val="GBC22222222222222222222222222222"/>
            </w:placeholder>
          </w:sdtPr>
          <w:sdtEndPr>
            <w:rPr>
              <w:szCs w:val="21"/>
            </w:rPr>
          </w:sdtEndPr>
          <w:sdtContent>
            <w:p>
              <w:pPr>
                <w:pStyle w:val="76"/>
                <w:rPr>
                  <w:szCs w:val="21"/>
                </w:rPr>
              </w:pPr>
              <w:r>
                <w:rPr>
                  <w:rFonts w:hint="eastAsia"/>
                  <w:szCs w:val="21"/>
                </w:rPr>
                <w:t>与资产相关的政府补助，应当确认为递延收益，在相关资产使用寿命内按照合理、系统的方法分期计入损益。按照名义金额计量的政府补助，直接计入当期损益。</w:t>
              </w:r>
            </w:p>
            <w:p>
              <w:pPr>
                <w:pStyle w:val="76"/>
                <w:rPr>
                  <w:szCs w:val="21"/>
                </w:rPr>
              </w:pPr>
              <w:r>
                <w:rPr>
                  <w:rFonts w:hint="eastAsia"/>
                  <w:szCs w:val="21"/>
                </w:rPr>
                <w:t>相关资产在使用寿命结束前被出售、转让、报废或发生毁损的，应当将尚未分配的相关递延收益余额转入资产处置当期的损益。</w:t>
              </w:r>
            </w:p>
          </w:sdtContent>
        </w:sdt>
        <w:p>
          <w:pPr>
            <w:pStyle w:val="76"/>
            <w:rPr>
              <w:szCs w:val="21"/>
            </w:rPr>
          </w:pPr>
        </w:p>
        <w:p>
          <w:pPr>
            <w:pStyle w:val="80"/>
            <w:numPr>
              <w:ilvl w:val="0"/>
              <w:numId w:val="42"/>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51dce58b77954741b6db0cf4ba647660"/>
            <w:id w:val="25154408"/>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25154409"/>
            <w:lock w:val="sdtLocked"/>
            <w:placeholder>
              <w:docPart w:val="GBC22222222222222222222222222222"/>
            </w:placeholder>
          </w:sdtPr>
          <w:sdtEndPr>
            <w:rPr>
              <w:szCs w:val="21"/>
            </w:rPr>
          </w:sdtEndPr>
          <w:sdtContent>
            <w:p>
              <w:pPr>
                <w:pStyle w:val="76"/>
                <w:rPr>
                  <w:szCs w:val="21"/>
                </w:rPr>
              </w:pPr>
              <w:r>
                <w:rPr>
                  <w:rFonts w:hint="eastAsia"/>
                  <w:szCs w:val="21"/>
                </w:rPr>
                <w:t>与收益相关的政府补助，应当分情况按照以下规定进行会计处理：</w:t>
              </w:r>
            </w:p>
            <w:p>
              <w:pPr>
                <w:pStyle w:val="76"/>
                <w:rPr>
                  <w:szCs w:val="21"/>
                </w:rPr>
              </w:pPr>
              <w:r>
                <w:rPr>
                  <w:szCs w:val="21"/>
                </w:rPr>
                <w:t>A、用于补偿公司以后期间的相关成本费用或损失的，确认为递延收益，并在确认相关成本费用或损失的期间，计入当期损益;</w:t>
              </w:r>
            </w:p>
            <w:p>
              <w:pPr>
                <w:pStyle w:val="76"/>
                <w:rPr>
                  <w:szCs w:val="21"/>
                </w:rPr>
              </w:pPr>
              <w:r>
                <w:rPr>
                  <w:szCs w:val="21"/>
                </w:rPr>
                <w:t>B、用于补偿公司已发生的相关成本费用或损失的，直接计入当期损益。</w:t>
              </w:r>
            </w:p>
            <w:p>
              <w:pPr>
                <w:pStyle w:val="76"/>
                <w:rPr>
                  <w:szCs w:val="21"/>
                </w:rPr>
              </w:pPr>
              <w:r>
                <w:rPr>
                  <w:rFonts w:hint="eastAsia"/>
                  <w:szCs w:val="21"/>
                </w:rPr>
                <w:t>③财政贴息</w:t>
              </w:r>
            </w:p>
            <w:p>
              <w:pPr>
                <w:pStyle w:val="76"/>
                <w:rPr>
                  <w:szCs w:val="21"/>
                </w:rPr>
              </w:pPr>
              <w:r>
                <w:rPr>
                  <w:szCs w:val="21"/>
                </w:rPr>
                <w:t>A、财政将贴息资金拨付给贷款银行，由贷款银行以政策性优惠利率向公司提供贷款的：以实际收到的借款金额作为借款的入账价值，按照借款本金和该政策性优惠利率计算相关借款费用。</w:t>
              </w:r>
            </w:p>
            <w:p>
              <w:pPr>
                <w:pStyle w:val="76"/>
                <w:rPr>
                  <w:szCs w:val="21"/>
                </w:rPr>
              </w:pPr>
              <w:r>
                <w:rPr>
                  <w:szCs w:val="21"/>
                </w:rPr>
                <w:t>B、财政将贴息资金直接拨付给公司的，应当将对应的贴息冲减相关借款费用。</w:t>
              </w:r>
            </w:p>
            <w:p>
              <w:pPr>
                <w:pStyle w:val="76"/>
                <w:rPr>
                  <w:szCs w:val="21"/>
                </w:rPr>
              </w:pPr>
              <w:r>
                <w:rPr>
                  <w:szCs w:val="21"/>
                </w:rPr>
                <w:t>C、已确认的政府补助需要退回的，应当在需要退回的当期直接计入当期损益。</w:t>
              </w:r>
            </w:p>
          </w:sdtContent>
        </w:sdt>
      </w:sdtContent>
    </w:sdt>
    <w:p>
      <w:pPr>
        <w:pStyle w:val="76"/>
        <w:rPr>
          <w:szCs w:val="21"/>
        </w:rPr>
      </w:pPr>
    </w:p>
    <w:sdt>
      <w:sdtPr>
        <w:rPr>
          <w:rFonts w:cs="宋体" w:asciiTheme="minorHAnsi" w:hAnsiTheme="minorHAnsi"/>
          <w:b w:val="0"/>
          <w:bCs w:val="0"/>
          <w:kern w:val="0"/>
          <w:szCs w:val="22"/>
        </w:rPr>
        <w:alias w:val="模块:递延所得税资产/递延所得税负债会计处理方法"/>
        <w:tag w:val="_GBC_01f1973e44f24cd99b90200f8205be13"/>
        <w:id w:val="25154413"/>
        <w:lock w:val="sdtLocked"/>
        <w:placeholder>
          <w:docPart w:val="GBC22222222222222222222222222222"/>
        </w:placeholder>
      </w:sdtPr>
      <w:sdtEndPr>
        <w:rPr>
          <w:rFonts w:hint="eastAsia" w:ascii="宋体" w:hAnsi="宋体" w:cs="Times New Roman"/>
          <w:b w:val="0"/>
          <w:bCs w:val="0"/>
          <w:kern w:val="2"/>
          <w:szCs w:val="21"/>
        </w:rPr>
      </w:sdtEndPr>
      <w:sdtContent>
        <w:p>
          <w:pPr>
            <w:pStyle w:val="79"/>
            <w:numPr>
              <w:ilvl w:val="0"/>
              <w:numId w:val="37"/>
            </w:numPr>
          </w:pPr>
          <w:r>
            <w:t>递延所得税资产/递延所得税负债</w:t>
          </w:r>
        </w:p>
        <w:sdt>
          <w:sdtPr>
            <w:rPr>
              <w:rFonts w:hint="eastAsia"/>
              <w:szCs w:val="21"/>
            </w:rPr>
            <w:alias w:val="是否适用：所得税的会计处理方法[双击切换]"/>
            <w:tag w:val="_GBC_3e4bb828d17944599248216201e65683"/>
            <w:id w:val="2515441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5154412"/>
            <w:lock w:val="sdtLocked"/>
            <w:placeholder>
              <w:docPart w:val="GBC22222222222222222222222222222"/>
            </w:placeholder>
          </w:sdtPr>
          <w:sdtEndPr>
            <w:rPr>
              <w:rFonts w:hint="eastAsia"/>
              <w:szCs w:val="21"/>
            </w:rPr>
          </w:sdtEndPr>
          <w:sdtContent>
            <w:p>
              <w:pPr>
                <w:pStyle w:val="76"/>
                <w:rPr>
                  <w:szCs w:val="21"/>
                </w:rPr>
              </w:pPr>
              <w:r>
                <w:rPr>
                  <w:rFonts w:hint="eastAsia"/>
                  <w:szCs w:val="21"/>
                </w:rPr>
                <w:t>所得税包括当期所得税和递延所得税。除由于企业合并产生的调整商誉，或与直接计入所有者权益的交易或者事项相关的递延所得税计入所有者权益外，均作为所得税费用计入当期损益。</w:t>
              </w:r>
            </w:p>
            <w:p>
              <w:pPr>
                <w:pStyle w:val="76"/>
                <w:rPr>
                  <w:szCs w:val="21"/>
                </w:rPr>
              </w:pPr>
              <w:r>
                <w:rPr>
                  <w:rFonts w:hint="eastAsia"/>
                  <w:szCs w:val="21"/>
                </w:rPr>
                <w:t>本公司根据资产、负债于资产负债表日的账面价值与计税基础之间的暂时性差异，采用资产负债表债务法确认递延所得税。</w:t>
              </w:r>
            </w:p>
            <w:p>
              <w:pPr>
                <w:pStyle w:val="76"/>
                <w:rPr>
                  <w:szCs w:val="21"/>
                </w:rPr>
              </w:pPr>
              <w:r>
                <w:rPr>
                  <w:szCs w:val="21"/>
                </w:rPr>
                <w:t xml:space="preserve"> 各项应纳税暂时性差异均确认相关的递延所得税负债。</w:t>
              </w:r>
            </w:p>
            <w:p>
              <w:pPr>
                <w:pStyle w:val="76"/>
                <w:rPr>
                  <w:szCs w:val="21"/>
                </w:rPr>
              </w:pPr>
              <w:r>
                <w:rPr>
                  <w:rFonts w:hint="eastAsia"/>
                  <w:szCs w:val="21"/>
                </w:rPr>
                <w:t>对于可抵扣暂时性差异、能够结转以后年度的可抵扣亏损和税款抵减，本公司以很可能取得用来抵扣可抵扣暂时性差异、可抵扣亏损和税款抵减的未来应纳税所得额为限，确认由此产生的递延所得税资产。</w:t>
              </w:r>
            </w:p>
            <w:p>
              <w:pPr>
                <w:pStyle w:val="76"/>
                <w:rPr>
                  <w:szCs w:val="21"/>
                </w:rPr>
              </w:pPr>
              <w:r>
                <w:rPr>
                  <w:szCs w:val="21"/>
                </w:rPr>
                <w:t xml:space="preserve"> 于资产负债表日，本公司对递延所得税资产和递延所得税负债，按照预期收回该资产或清偿该负债期间的适用税率计量，并反映资产负债表日预期收回资产或清偿负债方式的所得税影响。</w:t>
              </w:r>
            </w:p>
            <w:p>
              <w:pPr>
                <w:pStyle w:val="76"/>
                <w:rPr>
                  <w:szCs w:val="21"/>
                </w:rPr>
              </w:pPr>
              <w:r>
                <w:rPr>
                  <w:rFonts w:hint="eastAsia"/>
                  <w:szCs w:val="21"/>
                </w:rPr>
                <w:t>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pPr>
        <w:pStyle w:val="76"/>
        <w:rPr>
          <w:szCs w:val="21"/>
        </w:rPr>
      </w:pPr>
    </w:p>
    <w:sdt>
      <w:sdtPr>
        <w:rPr>
          <w:rFonts w:ascii="宋体" w:hAnsi="宋体" w:cs="宋体"/>
          <w:b w:val="0"/>
          <w:bCs w:val="0"/>
          <w:kern w:val="0"/>
          <w:szCs w:val="24"/>
        </w:rPr>
        <w:alias w:val="模块:经营租赁、融资租赁会计处理方法"/>
        <w:tag w:val="_GBC_f9ff4c1b9d1748b8854889b1fd9b076c"/>
        <w:id w:val="25154418"/>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37"/>
            </w:numPr>
          </w:pPr>
          <w:r>
            <w:t>租赁</w:t>
          </w:r>
        </w:p>
        <w:p>
          <w:pPr>
            <w:pStyle w:val="80"/>
            <w:numPr>
              <w:ilvl w:val="0"/>
              <w:numId w:val="43"/>
            </w:numPr>
          </w:pPr>
          <w:r>
            <w:rPr>
              <w:rFonts w:hint="eastAsia"/>
            </w:rPr>
            <w:t>经营租赁的会计处理方法</w:t>
          </w:r>
        </w:p>
        <w:sdt>
          <w:sdtPr>
            <w:alias w:val="是否适用：经营租赁的会计处理方法[双击切换]"/>
            <w:tag w:val="_GBC_e2074b0f384d4bba80c32083627e5bdd"/>
            <w:id w:val="2515441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经营租赁的会计处理方法"/>
            <w:tag w:val="_GBC_95879bb481f644fd959d3a5843c3b06a"/>
            <w:id w:val="25154415"/>
            <w:lock w:val="sdtLocked"/>
            <w:placeholder>
              <w:docPart w:val="GBC22222222222222222222222222222"/>
            </w:placeholder>
          </w:sdtPr>
          <w:sdtEndPr>
            <w:rPr>
              <w:szCs w:val="21"/>
            </w:rPr>
          </w:sdtEndPr>
          <w:sdtContent>
            <w:p>
              <w:pPr>
                <w:pStyle w:val="76"/>
                <w:rPr>
                  <w:szCs w:val="21"/>
                </w:rPr>
              </w:pPr>
              <w:r>
                <w:rPr>
                  <w:rFonts w:hint="eastAsia"/>
                  <w:szCs w:val="21"/>
                </w:rPr>
                <w:t>①公司租入资产所支付的租赁费，在不扣除免租期的整个租赁期内，按直线法进行分摊，计入当期费用。公司支付的与租赁交易相关的初始直接费用，计入当期费用。</w:t>
              </w:r>
              <w:r>
                <w:rPr>
                  <w:szCs w:val="21"/>
                </w:rPr>
                <w:t xml:space="preserve"> 资产出租方承担了应由公司承担的与租赁相关的费用时，公司将该部分费用从租金总额中扣除，按扣除后的租金费用在租赁期内分摊，计入当期费用。</w:t>
              </w:r>
            </w:p>
            <w:p>
              <w:pPr>
                <w:pStyle w:val="76"/>
                <w:rPr>
                  <w:szCs w:val="21"/>
                </w:rPr>
              </w:pPr>
              <w:r>
                <w:rPr>
                  <w:szCs w:val="21"/>
                </w:rPr>
                <w:t xml:space="preserve">    ②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 公司承担了应由承租方承担的与租赁相关的费用时，公司将该部分费用从租金收入总额中扣除，按扣除后的租金费用在租赁期内分配。</w:t>
              </w:r>
            </w:p>
          </w:sdtContent>
        </w:sdt>
        <w:p>
          <w:pPr>
            <w:pStyle w:val="76"/>
            <w:rPr>
              <w:szCs w:val="21"/>
            </w:rPr>
          </w:pPr>
        </w:p>
        <w:p>
          <w:pPr>
            <w:pStyle w:val="80"/>
            <w:numPr>
              <w:ilvl w:val="0"/>
              <w:numId w:val="43"/>
            </w:numPr>
          </w:pPr>
          <w:r>
            <w:rPr>
              <w:rFonts w:hint="eastAsia"/>
            </w:rPr>
            <w:t>融资租赁的会计处理方法</w:t>
          </w:r>
        </w:p>
        <w:sdt>
          <w:sdtPr>
            <w:rPr>
              <w:rFonts w:hint="eastAsia"/>
              <w:szCs w:val="21"/>
            </w:rPr>
            <w:alias w:val="是否适用：融资租赁的会计处理方法[双击切换]"/>
            <w:tag w:val="_GBC_e6743f781bfc4763acf7f9821c740304"/>
            <w:id w:val="25154416"/>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5154417"/>
            <w:lock w:val="sdtLocked"/>
            <w:placeholder>
              <w:docPart w:val="GBC22222222222222222222222222222"/>
            </w:placeholder>
          </w:sdtPr>
          <w:sdtEndPr>
            <w:rPr>
              <w:szCs w:val="21"/>
            </w:rPr>
          </w:sdtEndPr>
          <w:sdtContent>
            <w:p>
              <w:pPr>
                <w:pStyle w:val="76"/>
                <w:rPr>
                  <w:szCs w:val="21"/>
                </w:rPr>
              </w:pPr>
              <w:r>
                <w:rPr>
                  <w:rFonts w:hint="eastAsia"/>
                  <w:szCs w:val="21"/>
                </w:rPr>
                <w:t>（</w:t>
              </w:r>
              <w:r>
                <w:rPr>
                  <w:szCs w:val="21"/>
                </w:rPr>
                <w:t>1）融资租入资产：公司在承租开始日，将租赁资产公允价值与最低租赁付款额现值两者中较低者作为租入资产的入账价值，将最低租赁付款额作为长期应付款的入账价值，其差额作为未确认的融资费用。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p>
              <w:pPr>
                <w:pStyle w:val="76"/>
                <w:rPr>
                  <w:szCs w:val="21"/>
                </w:rPr>
              </w:pPr>
              <w:r>
                <w:rPr>
                  <w:rFonts w:hint="eastAsia"/>
                  <w:szCs w:val="21"/>
                </w:rPr>
                <w:t>（</w:t>
              </w:r>
              <w:r>
                <w:rPr>
                  <w:szCs w:val="21"/>
                </w:rPr>
                <w:t>2）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pPr>
        <w:pStyle w:val="76"/>
        <w:rPr>
          <w:szCs w:val="21"/>
        </w:rPr>
      </w:pPr>
    </w:p>
    <w:sdt>
      <w:sdtPr>
        <w:rPr>
          <w:rFonts w:hint="eastAsia" w:asciiTheme="minorHAnsi" w:hAnsiTheme="minorHAnsi" w:cstheme="minorBidi"/>
          <w:b w:val="0"/>
          <w:bCs w:val="0"/>
          <w:kern w:val="0"/>
          <w:szCs w:val="22"/>
        </w:rPr>
        <w:alias w:val="模块:其他重要的会计政策和会计估计"/>
        <w:tag w:val="_GBC_208440ea3a0f4676970b3672c3cdf96f"/>
        <w:id w:val="25154420"/>
        <w:lock w:val="sdtLocked"/>
        <w:placeholder>
          <w:docPart w:val="GBC22222222222222222222222222222"/>
        </w:placeholder>
      </w:sdtPr>
      <w:sdtEndPr>
        <w:rPr>
          <w:rFonts w:hint="eastAsia" w:ascii="宋体" w:hAnsi="宋体" w:cs="Times New Roman"/>
          <w:b w:val="0"/>
          <w:bCs w:val="0"/>
          <w:kern w:val="0"/>
          <w:szCs w:val="21"/>
        </w:rPr>
      </w:sdtEndPr>
      <w:sdtContent>
        <w:p>
          <w:pPr>
            <w:pStyle w:val="79"/>
            <w:numPr>
              <w:ilvl w:val="0"/>
              <w:numId w:val="37"/>
            </w:numPr>
          </w:pPr>
          <w:r>
            <w:rPr>
              <w:rFonts w:hint="eastAsia"/>
            </w:rPr>
            <w:t>其他重要的会计政策和会计估计</w:t>
          </w:r>
        </w:p>
        <w:sdt>
          <w:sdtPr>
            <w:alias w:val="是否适用：其他重要的会计政策和会计估计[双击切换]"/>
            <w:tag w:val="_GBC_b4281f4538de4623a036697d3903e1f8"/>
            <w:id w:val="25154419"/>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37"/>
        </w:numPr>
      </w:pPr>
      <w:r>
        <w:rPr>
          <w:rFonts w:hint="eastAsia"/>
        </w:rPr>
        <w:t>重要</w:t>
      </w:r>
      <w:r>
        <w:t>会计政策</w:t>
      </w:r>
      <w:r>
        <w:rPr>
          <w:rFonts w:hint="eastAsia"/>
        </w:rPr>
        <w:t>和</w:t>
      </w:r>
      <w:r>
        <w:t>会计估计的变更</w:t>
      </w:r>
    </w:p>
    <w:p>
      <w:pPr>
        <w:pStyle w:val="80"/>
        <w:numPr>
          <w:ilvl w:val="0"/>
          <w:numId w:val="44"/>
        </w:numPr>
      </w:pPr>
      <w:r>
        <w:rPr>
          <w:rFonts w:hint="eastAsia"/>
        </w:rPr>
        <w:t>重要</w:t>
      </w:r>
      <w:r>
        <w:t>会计政策变更</w:t>
      </w:r>
    </w:p>
    <w:sdt>
      <w:sdtPr>
        <w:rPr>
          <w:szCs w:val="21"/>
        </w:rPr>
        <w:alias w:val="是否适用：重要会计政策变更[双击切换]"/>
        <w:tag w:val="_GBC_f1ebc580f60c4d30a80747190ffbec4f"/>
        <w:id w:val="25154421"/>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p>
      <w:pPr>
        <w:pStyle w:val="80"/>
        <w:numPr>
          <w:ilvl w:val="0"/>
          <w:numId w:val="44"/>
        </w:numPr>
      </w:pPr>
      <w:r>
        <w:rPr>
          <w:rFonts w:hint="eastAsia"/>
        </w:rPr>
        <w:t>重要</w:t>
      </w:r>
      <w:r>
        <w:t>会计估计变更</w:t>
      </w:r>
    </w:p>
    <w:sdt>
      <w:sdtPr>
        <w:alias w:val="是否适用：重要会计估计变更[双击切换]"/>
        <w:tag w:val="_GBC_902f08bd36774074945386d2d1f9b67d"/>
        <w:id w:val="2515442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
      <w:sdtPr>
        <w:rPr>
          <w:rFonts w:hint="eastAsia" w:asciiTheme="minorHAnsi" w:hAnsiTheme="minorHAnsi" w:cstheme="minorBidi"/>
          <w:b w:val="0"/>
          <w:bCs w:val="0"/>
          <w:kern w:val="0"/>
          <w:szCs w:val="22"/>
        </w:rPr>
        <w:alias w:val="模块:其他"/>
        <w:tag w:val="_GBC_f9189f2c315949f484bded540173f7a8"/>
        <w:id w:val="25154424"/>
        <w:lock w:val="sdtLocked"/>
        <w:placeholder>
          <w:docPart w:val="GBC22222222222222222222222222222"/>
        </w:placeholder>
      </w:sdtPr>
      <w:sdtEndPr>
        <w:rPr>
          <w:rFonts w:hint="eastAsia" w:ascii="宋体" w:hAnsi="宋体" w:cs="Times New Roman"/>
          <w:b w:val="0"/>
          <w:bCs w:val="0"/>
          <w:kern w:val="0"/>
          <w:szCs w:val="21"/>
        </w:rPr>
      </w:sdtEndPr>
      <w:sdtContent>
        <w:p>
          <w:pPr>
            <w:pStyle w:val="79"/>
            <w:numPr>
              <w:ilvl w:val="0"/>
              <w:numId w:val="37"/>
            </w:numPr>
          </w:pPr>
          <w:r>
            <w:rPr>
              <w:rFonts w:hint="eastAsia"/>
            </w:rPr>
            <w:t>其他</w:t>
          </w:r>
        </w:p>
        <w:sdt>
          <w:sdtPr>
            <w:rPr>
              <w:rFonts w:hint="eastAsia"/>
              <w:szCs w:val="21"/>
            </w:rPr>
            <w:alias w:val="是否适用：公司主要会计政策、会计估计和前期差错的其他说明[双击切换]"/>
            <w:tag w:val="_GBC_6deb29735f384e0d9a2b017d4265a493"/>
            <w:id w:val="2515442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p>
      <w:pPr>
        <w:pStyle w:val="78"/>
        <w:numPr>
          <w:ilvl w:val="0"/>
          <w:numId w:val="34"/>
        </w:numPr>
        <w:rPr>
          <w:rFonts w:ascii="宋体" w:hAnsi="宋体"/>
        </w:rPr>
      </w:pPr>
      <w:r>
        <w:rPr>
          <w:rFonts w:hint="eastAsia" w:ascii="宋体" w:hAnsi="宋体"/>
        </w:rPr>
        <w:t>税项</w:t>
      </w:r>
    </w:p>
    <w:sdt>
      <w:sdtPr>
        <w:rPr>
          <w:rFonts w:cs="宋体" w:asciiTheme="minorHAnsi" w:hAnsiTheme="minorHAnsi"/>
          <w:b w:val="0"/>
          <w:bCs w:val="0"/>
          <w:kern w:val="0"/>
          <w:szCs w:val="22"/>
        </w:rPr>
        <w:alias w:val="模块:主要税种及税率"/>
        <w:tag w:val="_GBC_21c965fa52af49a9865023fb4e05671a"/>
        <w:id w:val="25154434"/>
        <w:lock w:val="sdtLocked"/>
        <w:placeholder>
          <w:docPart w:val="GBC22222222222222222222222222222"/>
        </w:placeholder>
      </w:sdtPr>
      <w:sdtEndPr>
        <w:rPr>
          <w:rFonts w:ascii="宋体" w:hAnsi="宋体" w:cs="Times New Roman"/>
          <w:b w:val="0"/>
          <w:bCs w:val="0"/>
          <w:kern w:val="2"/>
          <w:szCs w:val="21"/>
        </w:rPr>
      </w:sdtEndPr>
      <w:sdtContent>
        <w:p>
          <w:pPr>
            <w:pStyle w:val="79"/>
            <w:numPr>
              <w:ilvl w:val="0"/>
              <w:numId w:val="45"/>
            </w:numPr>
            <w:tabs>
              <w:tab w:val="left" w:pos="546"/>
            </w:tabs>
          </w:pPr>
          <w:r>
            <w:t>主要税种及税率</w:t>
          </w:r>
        </w:p>
        <w:p>
          <w:pPr>
            <w:pStyle w:val="76"/>
          </w:pPr>
          <w:r>
            <w:rPr>
              <w:rFonts w:hint="eastAsia"/>
            </w:rPr>
            <w:t>主要税种及税率情况</w:t>
          </w:r>
        </w:p>
        <w:sdt>
          <w:sdtPr>
            <w:alias w:val="是否适用：主要税种及税率情况 [双击切换]"/>
            <w:tag w:val="_GBC_fd47fa4fd9aa499c8903795268a25582"/>
            <w:id w:val="2515442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3145"/>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Cs w:val="21"/>
                </w:rPr>
                <w:tag w:val="_PLD_e7d49d0412b143bf84fec865b918065a"/>
                <w:id w:val="25154426"/>
                <w:lock w:val="sdtLocked"/>
              </w:sdtPr>
              <w:sdtEndPr>
                <w:rPr>
                  <w:szCs w:val="24"/>
                </w:rPr>
              </w:sdtEndPr>
              <w:sdtContent>
                <w:tc>
                  <w:tcPr>
                    <w:tcW w:w="2782" w:type="dxa"/>
                    <w:vAlign w:val="center"/>
                  </w:tcPr>
                  <w:p>
                    <w:pPr>
                      <w:pStyle w:val="76"/>
                      <w:jc w:val="center"/>
                      <w:rPr>
                        <w:szCs w:val="21"/>
                      </w:rPr>
                    </w:pPr>
                    <w:r>
                      <w:rPr>
                        <w:szCs w:val="21"/>
                      </w:rPr>
                      <w:t>税种</w:t>
                    </w:r>
                  </w:p>
                </w:tc>
              </w:sdtContent>
            </w:sdt>
            <w:sdt>
              <w:sdtPr>
                <w:tag w:val="_PLD_e42202809983483baa812ed26e1b27a2"/>
                <w:id w:val="25154427"/>
                <w:lock w:val="sdtLocked"/>
              </w:sdtPr>
              <w:sdtContent>
                <w:tc>
                  <w:tcPr>
                    <w:tcW w:w="3145" w:type="dxa"/>
                    <w:vAlign w:val="center"/>
                  </w:tcPr>
                  <w:p>
                    <w:pPr>
                      <w:pStyle w:val="76"/>
                      <w:jc w:val="center"/>
                      <w:rPr>
                        <w:szCs w:val="21"/>
                      </w:rPr>
                    </w:pPr>
                    <w:r>
                      <w:rPr>
                        <w:szCs w:val="21"/>
                      </w:rPr>
                      <w:t>计税依据</w:t>
                    </w:r>
                  </w:p>
                </w:tc>
              </w:sdtContent>
            </w:sdt>
            <w:sdt>
              <w:sdtPr>
                <w:tag w:val="_PLD_0cebc7a4c62844c6b35146cd64cd4277"/>
                <w:id w:val="25154428"/>
                <w:lock w:val="sdtLocked"/>
              </w:sdtPr>
              <w:sdtContent>
                <w:tc>
                  <w:tcPr>
                    <w:tcW w:w="3122" w:type="dxa"/>
                    <w:vAlign w:val="center"/>
                  </w:tcPr>
                  <w:p>
                    <w:pPr>
                      <w:pStyle w:val="76"/>
                      <w:jc w:val="center"/>
                      <w:rPr>
                        <w:szCs w:val="21"/>
                      </w:rPr>
                    </w:pPr>
                    <w:r>
                      <w:rPr>
                        <w:szCs w:val="21"/>
                      </w:rPr>
                      <w:t>税率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ace953dc7aa4938aeb14fdc5cefe531"/>
                <w:id w:val="25154429"/>
                <w:lock w:val="sdtLocked"/>
              </w:sdtPr>
              <w:sdtContent>
                <w:tc>
                  <w:tcPr>
                    <w:tcW w:w="2782" w:type="dxa"/>
                  </w:tcPr>
                  <w:p>
                    <w:pPr>
                      <w:pStyle w:val="76"/>
                      <w:rPr>
                        <w:szCs w:val="21"/>
                      </w:rPr>
                    </w:pPr>
                    <w:r>
                      <w:rPr>
                        <w:szCs w:val="21"/>
                      </w:rPr>
                      <w:t>增值税</w:t>
                    </w:r>
                  </w:p>
                </w:tc>
              </w:sdtContent>
            </w:sdt>
            <w:tc>
              <w:tcPr>
                <w:tcW w:w="3145" w:type="dxa"/>
              </w:tcPr>
              <w:p>
                <w:pPr>
                  <w:pStyle w:val="76"/>
                  <w:rPr>
                    <w:szCs w:val="21"/>
                  </w:rPr>
                </w:pPr>
                <w:r>
                  <w:t>应税收入</w:t>
                </w:r>
              </w:p>
            </w:tc>
            <w:tc>
              <w:tcPr>
                <w:tcW w:w="3122" w:type="dxa"/>
              </w:tcPr>
              <w:p>
                <w:pPr>
                  <w:pStyle w:val="76"/>
                  <w:rPr>
                    <w:szCs w:val="21"/>
                  </w:rPr>
                </w:pPr>
                <w:r>
                  <w:t>17%、13%、11%、6%、3%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00c27a54584444dbd90124436528903"/>
                <w:id w:val="25154430"/>
                <w:lock w:val="sdtLocked"/>
              </w:sdtPr>
              <w:sdtContent>
                <w:tc>
                  <w:tcPr>
                    <w:tcW w:w="2782" w:type="dxa"/>
                  </w:tcPr>
                  <w:p>
                    <w:pPr>
                      <w:pStyle w:val="76"/>
                      <w:rPr>
                        <w:szCs w:val="21"/>
                      </w:rPr>
                    </w:pPr>
                    <w:r>
                      <w:rPr>
                        <w:szCs w:val="21"/>
                      </w:rPr>
                      <w:t>城市维护建设税</w:t>
                    </w:r>
                  </w:p>
                </w:tc>
              </w:sdtContent>
            </w:sdt>
            <w:tc>
              <w:tcPr>
                <w:tcW w:w="3145" w:type="dxa"/>
              </w:tcPr>
              <w:p>
                <w:pPr>
                  <w:pStyle w:val="76"/>
                  <w:rPr>
                    <w:szCs w:val="21"/>
                  </w:rPr>
                </w:pPr>
                <w:r>
                  <w:t>应纳流转税额</w:t>
                </w:r>
              </w:p>
            </w:tc>
            <w:tc>
              <w:tcPr>
                <w:tcW w:w="3122" w:type="dxa"/>
              </w:tcPr>
              <w:p>
                <w:pPr>
                  <w:pStyle w:val="76"/>
                  <w:rPr>
                    <w:szCs w:val="21"/>
                  </w:rPr>
                </w:pPr>
                <w:r>
                  <w:t>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4fdae0a13a4ed2a46d30b411850225"/>
                <w:id w:val="25154431"/>
                <w:lock w:val="sdtLocked"/>
              </w:sdtPr>
              <w:sdtContent>
                <w:tc>
                  <w:tcPr>
                    <w:tcW w:w="2782" w:type="dxa"/>
                  </w:tcPr>
                  <w:p>
                    <w:pPr>
                      <w:pStyle w:val="76"/>
                      <w:rPr>
                        <w:szCs w:val="21"/>
                      </w:rPr>
                    </w:pPr>
                    <w:r>
                      <w:rPr>
                        <w:szCs w:val="21"/>
                      </w:rPr>
                      <w:t>企业所得税</w:t>
                    </w:r>
                  </w:p>
                </w:tc>
              </w:sdtContent>
            </w:sdt>
            <w:tc>
              <w:tcPr>
                <w:tcW w:w="3145" w:type="dxa"/>
              </w:tcPr>
              <w:p>
                <w:pPr>
                  <w:pStyle w:val="76"/>
                  <w:rPr>
                    <w:szCs w:val="21"/>
                  </w:rPr>
                </w:pPr>
                <w:r>
                  <w:t>应纳税所得额</w:t>
                </w:r>
              </w:p>
            </w:tc>
            <w:tc>
              <w:tcPr>
                <w:tcW w:w="3122" w:type="dxa"/>
              </w:tcPr>
              <w:p>
                <w:pPr>
                  <w:pStyle w:val="76"/>
                  <w:rPr>
                    <w:szCs w:val="21"/>
                  </w:rPr>
                </w:pPr>
                <w:r>
                  <w:t>15</w:t>
                </w:r>
                <w:r>
                  <w:rPr>
                    <w:rFonts w:hint="eastAsia"/>
                  </w:rPr>
                  <w:t>%</w:t>
                </w:r>
              </w:p>
            </w:tc>
          </w:tr>
          <w:sdt>
            <w:sdtPr>
              <w:rPr>
                <w:szCs w:val="21"/>
              </w:rPr>
              <w:alias w:val="其他主要税种及税率"/>
              <w:tag w:val="_GBC_b4f10406bc8741879c7bff390b72f9b9"/>
              <w:id w:val="2515443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tcPr>
                  <w:p>
                    <w:pPr>
                      <w:pStyle w:val="76"/>
                      <w:rPr>
                        <w:szCs w:val="21"/>
                      </w:rPr>
                    </w:pPr>
                    <w:r>
                      <w:t>水利建设基金</w:t>
                    </w:r>
                  </w:p>
                </w:tc>
                <w:tc>
                  <w:tcPr>
                    <w:tcW w:w="3145" w:type="dxa"/>
                  </w:tcPr>
                  <w:p>
                    <w:pPr>
                      <w:pStyle w:val="76"/>
                      <w:rPr>
                        <w:szCs w:val="21"/>
                      </w:rPr>
                    </w:pPr>
                    <w:r>
                      <w:t>营业收入</w:t>
                    </w:r>
                  </w:p>
                </w:tc>
                <w:tc>
                  <w:tcPr>
                    <w:tcW w:w="3122" w:type="dxa"/>
                  </w:tcPr>
                  <w:p>
                    <w:pPr>
                      <w:pStyle w:val="76"/>
                      <w:rPr>
                        <w:szCs w:val="21"/>
                      </w:rPr>
                    </w:pPr>
                    <w:r>
                      <w:t>0.05</w:t>
                    </w:r>
                    <w:r>
                      <w:rPr>
                        <w:rFonts w:hint="eastAsia"/>
                      </w:rPr>
                      <w:t>%</w:t>
                    </w:r>
                  </w:p>
                </w:tc>
              </w:tr>
            </w:sdtContent>
          </w:sdt>
        </w:tbl>
        <w:p>
          <w:pPr>
            <w:pStyle w:val="76"/>
          </w:pPr>
        </w:p>
        <w:p>
          <w:pPr>
            <w:pStyle w:val="76"/>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25154433"/>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5154437"/>
        <w:lock w:val="sdtLocked"/>
        <w:placeholder>
          <w:docPart w:val="GBC22222222222222222222222222222"/>
        </w:placeholder>
      </w:sdtPr>
      <w:sdtEndPr>
        <w:rPr>
          <w:rFonts w:hint="eastAsia" w:cs="Times New Roman" w:asciiTheme="minorEastAsia" w:hAnsiTheme="minorEastAsia" w:eastAsiaTheme="minorEastAsia"/>
          <w:b w:val="0"/>
          <w:bCs w:val="0"/>
          <w:kern w:val="2"/>
          <w:sz w:val="21"/>
          <w:szCs w:val="21"/>
        </w:rPr>
      </w:sdtEndPr>
      <w:sdtContent>
        <w:p>
          <w:pPr>
            <w:pStyle w:val="79"/>
            <w:numPr>
              <w:ilvl w:val="0"/>
              <w:numId w:val="45"/>
            </w:numPr>
            <w:tabs>
              <w:tab w:val="left" w:pos="546"/>
            </w:tabs>
          </w:pPr>
          <w:r>
            <w:t>税收优惠</w:t>
          </w:r>
        </w:p>
        <w:sdt>
          <w:sdtPr>
            <w:rPr>
              <w:rFonts w:hint="eastAsia"/>
              <w:szCs w:val="21"/>
            </w:rPr>
            <w:alias w:val="是否适用：税收优惠[双击切换]"/>
            <w:tag w:val="_GBC_f8eb23e7a2e74e448e4eb46519d87bd6"/>
            <w:id w:val="25154435"/>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25154436"/>
            <w:lock w:val="sdtLocked"/>
            <w:placeholder>
              <w:docPart w:val="GBC22222222222222222222222222222"/>
            </w:placeholder>
          </w:sdtPr>
          <w:sdtEndPr>
            <w:rPr>
              <w:rFonts w:hint="eastAsia"/>
              <w:szCs w:val="21"/>
            </w:rPr>
          </w:sdtEndPr>
          <w:sdtContent>
            <w:p>
              <w:pPr>
                <w:pStyle w:val="76"/>
                <w:rPr>
                  <w:szCs w:val="21"/>
                </w:rPr>
              </w:pPr>
              <w:r>
                <w:rPr>
                  <w:rFonts w:hint="eastAsia"/>
                  <w:szCs w:val="21"/>
                </w:rPr>
                <w:t>（</w:t>
              </w:r>
              <w:r>
                <w:rPr>
                  <w:szCs w:val="21"/>
                </w:rP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w:t>
              </w:r>
              <w:r>
                <w:rPr>
                  <w:rFonts w:hint="eastAsia"/>
                  <w:szCs w:val="21"/>
                </w:rPr>
                <w:t>8</w:t>
              </w:r>
              <w:r>
                <w:rPr>
                  <w:szCs w:val="21"/>
                </w:rPr>
                <w:t>年资源综合利用收入减按90%计入当年收入总额计征当年企业所得税。</w:t>
              </w:r>
            </w:p>
            <w:p>
              <w:pPr>
                <w:pStyle w:val="76"/>
                <w:rPr>
                  <w:szCs w:val="21"/>
                </w:rPr>
              </w:pPr>
            </w:p>
            <w:p>
              <w:pPr>
                <w:pStyle w:val="76"/>
                <w:rPr>
                  <w:szCs w:val="21"/>
                </w:rPr>
              </w:pPr>
              <w:r>
                <w:rPr>
                  <w:rFonts w:hint="eastAsia"/>
                  <w:szCs w:val="21"/>
                </w:rPr>
                <w:t>（</w:t>
              </w:r>
              <w:r>
                <w:rPr>
                  <w:szCs w:val="21"/>
                </w:rPr>
                <w:t>2）本公司的“全规检抗震盘螺生产研发”、“预应力钢纹线用热轧盘条开发”等开发项目属科学研究与技术开发项目范畴，根据国家税务总局颁布的《企业研究开发费用税前扣除管理办法（试行）》（国税发[2008]116号）、财税〔2013〕70号关于研究开发费用税前加计扣除有关政策问题的通知规定，本公司对201</w:t>
              </w:r>
              <w:r>
                <w:rPr>
                  <w:rFonts w:hint="eastAsia"/>
                  <w:szCs w:val="21"/>
                </w:rPr>
                <w:t>8</w:t>
              </w:r>
              <w:r>
                <w:rPr>
                  <w:szCs w:val="21"/>
                </w:rPr>
                <w:t>年实际发生的技术开发费用，在计算应纳税所得额时实行加计扣除。</w:t>
              </w:r>
            </w:p>
            <w:p>
              <w:pPr>
                <w:pStyle w:val="76"/>
                <w:rPr>
                  <w:szCs w:val="21"/>
                </w:rPr>
              </w:pPr>
            </w:p>
            <w:p>
              <w:pPr>
                <w:pStyle w:val="76"/>
                <w:rPr>
                  <w:szCs w:val="21"/>
                </w:rPr>
              </w:pPr>
              <w:r>
                <w:rPr>
                  <w:rFonts w:hint="eastAsia"/>
                  <w:szCs w:val="21"/>
                </w:rPr>
                <w:t>（</w:t>
              </w:r>
              <w:r>
                <w:rPr>
                  <w:szCs w:val="21"/>
                </w:rPr>
                <w:t>3）根据《财政部 国家税务总局关于执行环境保护专用设备企业所得税优惠目录 节能节水专用设备企业所得税优惠目录和安全生产专用设备企业所得税优惠目录有关问题的通知》（财税【2008】48号）的规定，本公司申办购置并使用的环境保护、节能节水、安全生产专用设备按专用设备投资额的10%抵减企业所得税。</w:t>
              </w:r>
            </w:p>
            <w:p>
              <w:pPr>
                <w:pStyle w:val="76"/>
                <w:rPr>
                  <w:szCs w:val="21"/>
                </w:rPr>
              </w:pPr>
            </w:p>
            <w:p>
              <w:pPr>
                <w:pStyle w:val="76"/>
                <w:rPr>
                  <w:szCs w:val="21"/>
                </w:rPr>
              </w:pPr>
              <w:r>
                <w:rPr>
                  <w:rFonts w:hint="eastAsia"/>
                  <w:szCs w:val="21"/>
                </w:rPr>
                <w:t>（</w:t>
              </w:r>
              <w:r>
                <w:rPr>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pPr>
                <w:pStyle w:val="76"/>
                <w:rPr>
                  <w:szCs w:val="21"/>
                </w:rPr>
              </w:pPr>
            </w:p>
            <w:p>
              <w:pPr>
                <w:pStyle w:val="76"/>
                <w:rPr>
                  <w:szCs w:val="21"/>
                </w:rPr>
              </w:pPr>
              <w:r>
                <w:rPr>
                  <w:rFonts w:hint="eastAsia"/>
                  <w:szCs w:val="21"/>
                </w:rPr>
                <w:t>（</w:t>
              </w:r>
              <w:r>
                <w:rPr>
                  <w:szCs w:val="21"/>
                </w:rPr>
                <w:t>5）本公司利用高炉煤气余热及余压生产的电力产品、利用干熄焦余热生产的热力（蒸汽）产品经广西资源综合利用产品认定委员会认定为资源综合利用产品。根据《财政部 国家税务总局关于调整完善资源综合利用产品及劳务增值税政策的通知》（财税[2011]115号）的规定，201</w:t>
              </w:r>
              <w:r>
                <w:rPr>
                  <w:rFonts w:hint="eastAsia"/>
                  <w:szCs w:val="21"/>
                </w:rPr>
                <w:t>8</w:t>
              </w:r>
              <w:r>
                <w:rPr>
                  <w:szCs w:val="21"/>
                </w:rPr>
                <w:t>年办理享受增值税即征即退优惠政策。</w:t>
              </w:r>
            </w:p>
          </w:sdtContent>
        </w:sdt>
        <w:p>
          <w:pPr>
            <w:pStyle w:val="76"/>
            <w:rPr>
              <w:rFonts w:asciiTheme="minorEastAsia" w:hAnsiTheme="minorEastAsia" w:eastAsiaTheme="minorEastAsia"/>
              <w:szCs w:val="21"/>
            </w:rPr>
          </w:pPr>
        </w:p>
      </w:sdtContent>
    </w:sdt>
    <w:sdt>
      <w:sdtPr>
        <w:rPr>
          <w:rFonts w:ascii="宋体" w:hAnsi="宋体" w:cs="宋体"/>
          <w:b w:val="0"/>
          <w:bCs w:val="0"/>
          <w:kern w:val="0"/>
          <w:sz w:val="24"/>
          <w:szCs w:val="22"/>
        </w:rPr>
        <w:alias w:val="模块:其他说明"/>
        <w:tag w:val="_GBC_9fdef48633e142f68e18dc5da08c2deb"/>
        <w:id w:val="25154439"/>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79"/>
            <w:numPr>
              <w:ilvl w:val="0"/>
              <w:numId w:val="45"/>
            </w:numPr>
            <w:tabs>
              <w:tab w:val="left" w:pos="546"/>
            </w:tabs>
            <w:rPr>
              <w:rFonts w:asciiTheme="minorEastAsia" w:hAnsiTheme="minorEastAsia" w:eastAsiaTheme="minorEastAsia"/>
            </w:rPr>
          </w:pPr>
          <w:r>
            <w:t>其他</w:t>
          </w:r>
        </w:p>
        <w:sdt>
          <w:sdtPr>
            <w:rPr>
              <w:rFonts w:hint="eastAsia"/>
              <w:szCs w:val="21"/>
            </w:rPr>
            <w:alias w:val="是否适用：税项说明[双击切换]"/>
            <w:tag w:val="_GBC_566ef0a7141a4b2ca002ad8d0663c462"/>
            <w:id w:val="25154438"/>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p>
      <w:pPr>
        <w:pStyle w:val="78"/>
        <w:numPr>
          <w:ilvl w:val="0"/>
          <w:numId w:val="34"/>
        </w:numPr>
      </w:pPr>
      <w:r>
        <w:rPr>
          <w:rFonts w:hint="eastAsia"/>
        </w:rPr>
        <w:t>合并财务报表项目注释</w:t>
      </w:r>
    </w:p>
    <w:sdt>
      <w:sdtPr>
        <w:rPr>
          <w:rFonts w:hint="eastAsia" w:ascii="宋体" w:hAnsi="宋体" w:cs="宋体"/>
          <w:b w:val="0"/>
          <w:bCs w:val="0"/>
          <w:kern w:val="0"/>
          <w:szCs w:val="21"/>
        </w:rPr>
        <w:alias w:val="模块:货币资金"/>
        <w:tag w:val="_GBC_e001074b3db146e59ba240ad8dd14b68"/>
        <w:id w:val="25154452"/>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pPr>
          <w:r>
            <w:rPr>
              <w:rFonts w:hint="eastAsia"/>
            </w:rPr>
            <w:t>货币资金</w:t>
          </w:r>
        </w:p>
        <w:sdt>
          <w:sdtPr>
            <w:rPr>
              <w:rFonts w:hint="eastAsia"/>
              <w:szCs w:val="21"/>
            </w:rPr>
            <w:alias w:val="是否适用：货币资金[双击切换]"/>
            <w:tag w:val="_GBC_919482f2d209490ca80fb081aed88b28"/>
            <w:id w:val="25154440"/>
            <w:lock w:val="sdtContentLocked"/>
            <w:placeholder>
              <w:docPart w:val="GBC22222222222222222222222222222"/>
            </w:placeholder>
          </w:sdtPr>
          <w:sdtEndPr>
            <w:rPr>
              <w:rFonts w:hint="eastAsia"/>
              <w:szCs w:val="21"/>
            </w:rPr>
          </w:sdtEndPr>
          <w:sdtContent>
            <w:p>
              <w:pPr>
                <w:pStyle w:val="76"/>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251544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251544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66"/>
            <w:gridCol w:w="2692"/>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970744f8614f4547819947c8fa3cacc3"/>
                <w:id w:val="25154443"/>
                <w:lock w:val="sdtLocked"/>
              </w:sdtPr>
              <w:sdtContent>
                <w:tc>
                  <w:tcPr>
                    <w:tcW w:w="3266" w:type="dxa"/>
                    <w:shd w:val="clear" w:color="auto" w:fill="auto"/>
                    <w:vAlign w:val="center"/>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25154444"/>
                <w:lock w:val="sdtLocked"/>
              </w:sdtPr>
              <w:sdtContent>
                <w:tc>
                  <w:tcPr>
                    <w:tcW w:w="2692" w:type="dxa"/>
                    <w:shd w:val="clear" w:color="auto" w:fill="auto"/>
                    <w:vAlign w:val="center"/>
                  </w:tcPr>
                  <w:p>
                    <w:pPr>
                      <w:pStyle w:val="76"/>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25154445"/>
                <w:lock w:val="sdtLocked"/>
              </w:sdtPr>
              <w:sdtContent>
                <w:tc>
                  <w:tcPr>
                    <w:tcW w:w="2885" w:type="dxa"/>
                    <w:shd w:val="clear" w:color="auto" w:fill="auto"/>
                    <w:vAlign w:val="center"/>
                  </w:tcPr>
                  <w:p>
                    <w:pPr>
                      <w:pStyle w:val="76"/>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e371e767a9e24245856168b9f4428678"/>
                <w:id w:val="25154446"/>
                <w:lock w:val="sdtLocked"/>
              </w:sdtPr>
              <w:sdtContent>
                <w:tc>
                  <w:tcPr>
                    <w:tcW w:w="3266" w:type="dxa"/>
                    <w:shd w:val="clear" w:color="auto" w:fill="auto"/>
                  </w:tcPr>
                  <w:p>
                    <w:pPr>
                      <w:pStyle w:val="76"/>
                      <w:autoSpaceDE w:val="0"/>
                      <w:autoSpaceDN w:val="0"/>
                      <w:adjustRightInd w:val="0"/>
                      <w:snapToGrid w:val="0"/>
                      <w:spacing w:line="240" w:lineRule="atLeast"/>
                      <w:rPr>
                        <w:szCs w:val="21"/>
                      </w:rPr>
                    </w:pPr>
                    <w:r>
                      <w:rPr>
                        <w:rFonts w:hint="eastAsia"/>
                        <w:szCs w:val="21"/>
                      </w:rPr>
                      <w:t>库存现金</w:t>
                    </w:r>
                  </w:p>
                </w:tc>
              </w:sdtContent>
            </w:sdt>
            <w:tc>
              <w:tcPr>
                <w:tcW w:w="2692" w:type="dxa"/>
                <w:shd w:val="clear" w:color="auto" w:fill="auto"/>
              </w:tcPr>
              <w:p>
                <w:pPr>
                  <w:pStyle w:val="76"/>
                  <w:autoSpaceDE w:val="0"/>
                  <w:autoSpaceDN w:val="0"/>
                  <w:adjustRightInd w:val="0"/>
                  <w:snapToGrid w:val="0"/>
                  <w:spacing w:line="240" w:lineRule="atLeast"/>
                  <w:jc w:val="right"/>
                  <w:rPr>
                    <w:szCs w:val="21"/>
                  </w:rPr>
                </w:pPr>
              </w:p>
            </w:tc>
            <w:tc>
              <w:tcPr>
                <w:tcW w:w="2885" w:type="dxa"/>
                <w:shd w:val="clear" w:color="auto" w:fill="auto"/>
              </w:tcPr>
              <w:p>
                <w:pPr>
                  <w:pStyle w:val="76"/>
                  <w:autoSpaceDE w:val="0"/>
                  <w:autoSpaceDN w:val="0"/>
                  <w:adjustRightInd w:val="0"/>
                  <w:snapToGrid w:val="0"/>
                  <w:spacing w:line="240" w:lineRule="atLeas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96be3b99d11b4eb5ac959cf1c015f1ae"/>
                <w:id w:val="25154447"/>
                <w:lock w:val="sdtLocked"/>
              </w:sdtPr>
              <w:sdtContent>
                <w:tc>
                  <w:tcPr>
                    <w:tcW w:w="3266" w:type="dxa"/>
                    <w:shd w:val="clear" w:color="auto" w:fill="auto"/>
                  </w:tcPr>
                  <w:p>
                    <w:pPr>
                      <w:pStyle w:val="76"/>
                      <w:autoSpaceDE w:val="0"/>
                      <w:autoSpaceDN w:val="0"/>
                      <w:adjustRightInd w:val="0"/>
                      <w:snapToGrid w:val="0"/>
                      <w:spacing w:line="240" w:lineRule="atLeast"/>
                      <w:rPr>
                        <w:szCs w:val="21"/>
                      </w:rPr>
                    </w:pPr>
                    <w:r>
                      <w:rPr>
                        <w:rFonts w:hint="eastAsia"/>
                        <w:szCs w:val="21"/>
                      </w:rPr>
                      <w:t>银行存款</w:t>
                    </w:r>
                  </w:p>
                </w:tc>
              </w:sdtContent>
            </w:sdt>
            <w:tc>
              <w:tcPr>
                <w:tcW w:w="2692" w:type="dxa"/>
                <w:shd w:val="clear" w:color="auto" w:fill="auto"/>
              </w:tcPr>
              <w:p>
                <w:pPr>
                  <w:pStyle w:val="76"/>
                  <w:autoSpaceDE w:val="0"/>
                  <w:autoSpaceDN w:val="0"/>
                  <w:adjustRightInd w:val="0"/>
                  <w:snapToGrid w:val="0"/>
                  <w:spacing w:line="240" w:lineRule="atLeast"/>
                  <w:jc w:val="right"/>
                  <w:rPr>
                    <w:szCs w:val="21"/>
                  </w:rPr>
                </w:pPr>
                <w:r>
                  <w:t>1,693,222,730.04</w:t>
                </w:r>
              </w:p>
            </w:tc>
            <w:tc>
              <w:tcPr>
                <w:tcW w:w="2885" w:type="dxa"/>
                <w:shd w:val="clear" w:color="auto" w:fill="auto"/>
              </w:tcPr>
              <w:p>
                <w:pPr>
                  <w:pStyle w:val="76"/>
                  <w:autoSpaceDE w:val="0"/>
                  <w:autoSpaceDN w:val="0"/>
                  <w:adjustRightInd w:val="0"/>
                  <w:snapToGrid w:val="0"/>
                  <w:spacing w:line="240" w:lineRule="atLeast"/>
                  <w:jc w:val="right"/>
                  <w:rPr>
                    <w:szCs w:val="21"/>
                  </w:rPr>
                </w:pPr>
                <w:r>
                  <w:t>2,837,003,776.29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58c172627e3243edb66fdbc1799a2f1e"/>
                <w:id w:val="25154448"/>
                <w:lock w:val="sdtLocked"/>
              </w:sdtPr>
              <w:sdtContent>
                <w:tc>
                  <w:tcPr>
                    <w:tcW w:w="3266" w:type="dxa"/>
                    <w:shd w:val="clear" w:color="auto" w:fill="auto"/>
                  </w:tcPr>
                  <w:p>
                    <w:pPr>
                      <w:pStyle w:val="76"/>
                      <w:autoSpaceDE w:val="0"/>
                      <w:autoSpaceDN w:val="0"/>
                      <w:adjustRightInd w:val="0"/>
                      <w:snapToGrid w:val="0"/>
                      <w:spacing w:line="240" w:lineRule="atLeast"/>
                      <w:rPr>
                        <w:szCs w:val="21"/>
                      </w:rPr>
                    </w:pPr>
                    <w:r>
                      <w:rPr>
                        <w:rFonts w:hint="eastAsia"/>
                        <w:szCs w:val="21"/>
                      </w:rPr>
                      <w:t>其他货币资金</w:t>
                    </w:r>
                  </w:p>
                </w:tc>
              </w:sdtContent>
            </w:sdt>
            <w:tc>
              <w:tcPr>
                <w:tcW w:w="2692" w:type="dxa"/>
                <w:shd w:val="clear" w:color="auto" w:fill="auto"/>
              </w:tcPr>
              <w:p>
                <w:pPr>
                  <w:pStyle w:val="76"/>
                  <w:autoSpaceDE w:val="0"/>
                  <w:autoSpaceDN w:val="0"/>
                  <w:adjustRightInd w:val="0"/>
                  <w:snapToGrid w:val="0"/>
                  <w:spacing w:line="240" w:lineRule="atLeast"/>
                  <w:jc w:val="right"/>
                  <w:rPr>
                    <w:szCs w:val="21"/>
                  </w:rPr>
                </w:pPr>
                <w:r>
                  <w:t>90,335,138.06</w:t>
                </w:r>
              </w:p>
            </w:tc>
            <w:tc>
              <w:tcPr>
                <w:tcW w:w="2885" w:type="dxa"/>
                <w:shd w:val="clear" w:color="auto" w:fill="auto"/>
              </w:tcPr>
              <w:p>
                <w:pPr>
                  <w:pStyle w:val="76"/>
                  <w:autoSpaceDE w:val="0"/>
                  <w:autoSpaceDN w:val="0"/>
                  <w:adjustRightInd w:val="0"/>
                  <w:snapToGrid w:val="0"/>
                  <w:spacing w:line="240" w:lineRule="atLeast"/>
                  <w:jc w:val="right"/>
                  <w:rPr>
                    <w:szCs w:val="21"/>
                  </w:rPr>
                </w:pPr>
                <w:r>
                  <w:t>277,637,600.98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bfbd7d5ef1f8459e96b267d6ca7d50e2"/>
                <w:id w:val="25154449"/>
                <w:lock w:val="sdtLocked"/>
              </w:sdtPr>
              <w:sdtContent>
                <w:tc>
                  <w:tcPr>
                    <w:tcW w:w="3266" w:type="dxa"/>
                    <w:shd w:val="clear" w:color="auto" w:fill="auto"/>
                    <w:vAlign w:val="center"/>
                  </w:tcPr>
                  <w:p>
                    <w:pPr>
                      <w:pStyle w:val="76"/>
                      <w:autoSpaceDE w:val="0"/>
                      <w:autoSpaceDN w:val="0"/>
                      <w:adjustRightInd w:val="0"/>
                      <w:snapToGrid w:val="0"/>
                      <w:spacing w:line="240" w:lineRule="atLeast"/>
                      <w:rPr>
                        <w:szCs w:val="21"/>
                      </w:rPr>
                    </w:pPr>
                    <w:r>
                      <w:rPr>
                        <w:rFonts w:hint="eastAsia"/>
                        <w:szCs w:val="21"/>
                      </w:rPr>
                      <w:t>合计</w:t>
                    </w:r>
                  </w:p>
                </w:tc>
              </w:sdtContent>
            </w:sdt>
            <w:tc>
              <w:tcPr>
                <w:tcW w:w="2692" w:type="dxa"/>
                <w:shd w:val="clear" w:color="auto" w:fill="auto"/>
              </w:tcPr>
              <w:p>
                <w:pPr>
                  <w:pStyle w:val="76"/>
                  <w:autoSpaceDE w:val="0"/>
                  <w:autoSpaceDN w:val="0"/>
                  <w:adjustRightInd w:val="0"/>
                  <w:snapToGrid w:val="0"/>
                  <w:spacing w:line="240" w:lineRule="atLeast"/>
                  <w:jc w:val="right"/>
                  <w:rPr>
                    <w:szCs w:val="21"/>
                  </w:rPr>
                </w:pPr>
                <w:r>
                  <w:t>1,783,557,868.10</w:t>
                </w:r>
              </w:p>
            </w:tc>
            <w:tc>
              <w:tcPr>
                <w:tcW w:w="2885" w:type="dxa"/>
                <w:shd w:val="clear" w:color="auto" w:fill="auto"/>
              </w:tcPr>
              <w:p>
                <w:pPr>
                  <w:pStyle w:val="76"/>
                  <w:autoSpaceDE w:val="0"/>
                  <w:autoSpaceDN w:val="0"/>
                  <w:adjustRightInd w:val="0"/>
                  <w:snapToGrid w:val="0"/>
                  <w:spacing w:line="240" w:lineRule="atLeast"/>
                  <w:jc w:val="right"/>
                  <w:rPr>
                    <w:szCs w:val="21"/>
                  </w:rPr>
                </w:pPr>
                <w:r>
                  <w:t>3,114,641,377.27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87df45e9697a4beb97831117be4c567a"/>
                <w:id w:val="25154450"/>
                <w:lock w:val="sdtLocked"/>
              </w:sdtPr>
              <w:sdtContent>
                <w:tc>
                  <w:tcPr>
                    <w:tcW w:w="3266" w:type="dxa"/>
                    <w:shd w:val="clear" w:color="auto" w:fill="auto"/>
                  </w:tcPr>
                  <w:p>
                    <w:pPr>
                      <w:pStyle w:val="76"/>
                      <w:autoSpaceDE w:val="0"/>
                      <w:autoSpaceDN w:val="0"/>
                      <w:adjustRightInd w:val="0"/>
                      <w:snapToGrid w:val="0"/>
                      <w:spacing w:line="240" w:lineRule="atLeast"/>
                      <w:ind w:firstLine="210" w:firstLineChars="100"/>
                      <w:jc w:val="center"/>
                      <w:rPr>
                        <w:szCs w:val="21"/>
                      </w:rPr>
                    </w:pPr>
                    <w:r>
                      <w:rPr>
                        <w:rFonts w:hint="eastAsia"/>
                        <w:szCs w:val="21"/>
                      </w:rPr>
                      <w:t>其中：存放在境外的款项总额</w:t>
                    </w:r>
                  </w:p>
                </w:tc>
              </w:sdtContent>
            </w:sdt>
            <w:tc>
              <w:tcPr>
                <w:tcW w:w="2692" w:type="dxa"/>
                <w:shd w:val="clear" w:color="auto" w:fill="auto"/>
              </w:tcPr>
              <w:p>
                <w:pPr>
                  <w:pStyle w:val="76"/>
                  <w:autoSpaceDE w:val="0"/>
                  <w:autoSpaceDN w:val="0"/>
                  <w:adjustRightInd w:val="0"/>
                  <w:snapToGrid w:val="0"/>
                  <w:spacing w:line="240" w:lineRule="atLeast"/>
                  <w:jc w:val="right"/>
                  <w:rPr>
                    <w:szCs w:val="21"/>
                  </w:rPr>
                </w:pPr>
              </w:p>
            </w:tc>
            <w:tc>
              <w:tcPr>
                <w:tcW w:w="2885" w:type="dxa"/>
                <w:shd w:val="clear" w:color="auto" w:fill="auto"/>
              </w:tcPr>
              <w:p>
                <w:pPr>
                  <w:pStyle w:val="76"/>
                  <w:autoSpaceDE w:val="0"/>
                  <w:autoSpaceDN w:val="0"/>
                  <w:adjustRightInd w:val="0"/>
                  <w:snapToGrid w:val="0"/>
                  <w:spacing w:line="240" w:lineRule="atLeast"/>
                  <w:jc w:val="right"/>
                  <w:rPr>
                    <w:szCs w:val="21"/>
                  </w:rPr>
                </w:pPr>
              </w:p>
            </w:tc>
          </w:tr>
        </w:tbl>
        <w:p>
          <w:pPr>
            <w:pStyle w:val="76"/>
            <w:rPr>
              <w:szCs w:val="21"/>
            </w:rPr>
          </w:pPr>
          <w:r>
            <w:rPr>
              <w:rFonts w:hint="eastAsia"/>
              <w:szCs w:val="21"/>
            </w:rPr>
            <w:t>其他说明</w:t>
          </w:r>
        </w:p>
        <w:sdt>
          <w:sdtPr>
            <w:rPr>
              <w:szCs w:val="21"/>
            </w:rPr>
            <w:alias w:val="货币资金的说明"/>
            <w:tag w:val="_GBC_672a863055084dfabbc1ba40f04a68b4"/>
            <w:id w:val="25154451"/>
            <w:lock w:val="sdtLocked"/>
            <w:placeholder>
              <w:docPart w:val="GBC22222222222222222222222222222"/>
            </w:placeholder>
          </w:sdtPr>
          <w:sdtEndPr>
            <w:rPr>
              <w:szCs w:val="21"/>
            </w:rPr>
          </w:sdtEndPr>
          <w:sdtContent>
            <w:p>
              <w:pPr>
                <w:pStyle w:val="76"/>
                <w:rPr>
                  <w:szCs w:val="21"/>
                </w:rPr>
              </w:pPr>
              <w:r>
                <w:rPr>
                  <w:rFonts w:hint="eastAsia"/>
                  <w:szCs w:val="21"/>
                </w:rPr>
                <w:t>期末其他货币资金余额中有90,322,256.61</w:t>
              </w:r>
              <w:r>
                <w:rPr>
                  <w:szCs w:val="21"/>
                </w:rPr>
                <w:t>元使用受限，主要用于汇票及信用证保证金。该受限资金在编制现金流量表时不计入现金及现金等价物。</w:t>
              </w:r>
            </w:p>
          </w:sdtContent>
        </w:sdt>
        <w:p>
          <w:pPr>
            <w:pStyle w:val="76"/>
            <w:rPr>
              <w:szCs w:val="21"/>
            </w:rPr>
          </w:pPr>
        </w:p>
      </w:sdtContent>
    </w:sdt>
    <w:p>
      <w:pPr>
        <w:pStyle w:val="79"/>
        <w:numPr>
          <w:ilvl w:val="0"/>
          <w:numId w:val="46"/>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2515445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交易性金融资产情况"/>
        <w:tag w:val="_GBC_3ef16bb543fa4724aed3e5a88acd223b"/>
        <w:id w:val="25154463"/>
        <w:lock w:val="sdtLocked"/>
        <w:placeholder>
          <w:docPart w:val="GBC22222222222222222222222222222"/>
        </w:placeholder>
      </w:sdtPr>
      <w:sdtEndPr>
        <w:rPr>
          <w:rFonts w:hint="eastAsia"/>
          <w:b w:val="0"/>
          <w:bCs w:val="0"/>
          <w:szCs w:val="24"/>
        </w:rPr>
      </w:sdtEndPr>
      <w:sdtContent>
        <w:p>
          <w:pPr>
            <w:pStyle w:val="76"/>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251544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25154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70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99f398b3ba6420fa745fe18f4c7f7c3"/>
                <w:id w:val="25154456"/>
                <w:lock w:val="sdtLocked"/>
              </w:sdtPr>
              <w:sdtContent>
                <w:tc>
                  <w:tcPr>
                    <w:tcW w:w="5495"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项目</w:t>
                    </w:r>
                  </w:p>
                </w:tc>
              </w:sdtContent>
            </w:sdt>
            <w:sdt>
              <w:sdtPr>
                <w:tag w:val="_PLD_1318b5dde43348f5804ef7b8cb0d1d85"/>
                <w:id w:val="25154457"/>
                <w:lock w:val="sdtLocked"/>
              </w:sdtPr>
              <w:sdtContent>
                <w:tc>
                  <w:tcPr>
                    <w:tcW w:w="170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期末余额</w:t>
                    </w:r>
                  </w:p>
                </w:tc>
              </w:sdtContent>
            </w:sdt>
            <w:sdt>
              <w:sdtPr>
                <w:tag w:val="_PLD_6c91accbd7484c5d94898e581a28660b"/>
                <w:id w:val="25154458"/>
                <w:lock w:val="sdtLocked"/>
              </w:sdtPr>
              <w:sdtContent>
                <w:tc>
                  <w:tcPr>
                    <w:tcW w:w="1853"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07ca009a174ee78893d5d7fffd8412"/>
                <w:id w:val="25154459"/>
                <w:lock w:val="sdtLocked"/>
              </w:sdtPr>
              <w:sdtContent>
                <w:tc>
                  <w:tcPr>
                    <w:tcW w:w="5495" w:type="dxa"/>
                    <w:tcBorders>
                      <w:top w:val="single" w:color="auto" w:sz="4" w:space="0"/>
                      <w:left w:val="single" w:color="auto" w:sz="4" w:space="0"/>
                      <w:bottom w:val="single" w:color="auto" w:sz="4" w:space="0"/>
                      <w:right w:val="single" w:color="auto" w:sz="4" w:space="0"/>
                    </w:tcBorders>
                  </w:tcPr>
                  <w:p>
                    <w:pPr>
                      <w:pStyle w:val="76"/>
                    </w:pPr>
                    <w:r>
                      <w:rPr>
                        <w:rFonts w:hint="eastAsia"/>
                      </w:rPr>
                      <w:t>交易性金融资产</w:t>
                    </w:r>
                  </w:p>
                </w:tc>
              </w:sdtContent>
            </w:sdt>
            <w:tc>
              <w:tcPr>
                <w:tcW w:w="170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af666dfaa7488193db7a9d70f5b210"/>
                <w:id w:val="25154460"/>
                <w:lock w:val="sdtLocked"/>
              </w:sdtPr>
              <w:sdtContent>
                <w:tc>
                  <w:tcPr>
                    <w:tcW w:w="549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其中：债务工具投资</w:t>
                    </w:r>
                  </w:p>
                </w:tc>
              </w:sdtContent>
            </w:sdt>
            <w:tc>
              <w:tcPr>
                <w:tcW w:w="170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8a13f861514c428bd417d083f1279b"/>
                <w:id w:val="25154461"/>
                <w:lock w:val="sdtLocked"/>
              </w:sdtPr>
              <w:sdtContent>
                <w:tc>
                  <w:tcPr>
                    <w:tcW w:w="549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指定以公允价值计量且其变动计入当期损益的金融资产</w:t>
                    </w:r>
                  </w:p>
                </w:tc>
              </w:sdtContent>
            </w:sdt>
            <w:tc>
              <w:tcPr>
                <w:tcW w:w="170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7e7f9b6c6a494ea3ce21b2e9d5937a"/>
                <w:id w:val="25154462"/>
                <w:lock w:val="sdtLocked"/>
              </w:sdtPr>
              <w:sdtContent>
                <w:tc>
                  <w:tcPr>
                    <w:tcW w:w="5495"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合计</w:t>
                    </w:r>
                  </w:p>
                </w:tc>
              </w:sdtContent>
            </w:sdt>
            <w:tc>
              <w:tcPr>
                <w:tcW w:w="17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t>27,568,000.00</w:t>
                </w:r>
              </w:p>
            </w:tc>
          </w:tr>
        </w:tbl>
        <w:p>
          <w:pPr>
            <w:pStyle w:val="76"/>
          </w:pPr>
        </w:p>
      </w:sdtContent>
    </w:sdt>
    <w:sdt>
      <w:sdtPr>
        <w:rPr>
          <w:rFonts w:hint="eastAsia" w:ascii="宋体" w:hAnsi="宋体" w:cs="宋体"/>
          <w:b w:val="0"/>
          <w:bCs w:val="0"/>
          <w:kern w:val="0"/>
          <w:szCs w:val="21"/>
        </w:rPr>
        <w:alias w:val="模块:衍生金融资产"/>
        <w:tag w:val="_GBC_bc314407a9a14c2f8b2b5368638e0a51"/>
        <w:id w:val="25154467"/>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rPr>
              <w:szCs w:val="21"/>
            </w:rPr>
          </w:pPr>
          <w:r>
            <w:rPr>
              <w:rFonts w:hint="eastAsia"/>
              <w:szCs w:val="21"/>
            </w:rPr>
            <w:t>衍生金融资产</w:t>
          </w:r>
        </w:p>
        <w:sdt>
          <w:sdtPr>
            <w:alias w:val="是否适用：衍生金融资产[双击切换]"/>
            <w:tag w:val="_GBC_7f1559f8ac9a442b81c5479563d9e8bb"/>
            <w:id w:val="2515446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ind w:left="1470" w:right="25" w:rightChars="12" w:hanging="1470" w:hangingChars="700"/>
            <w:rPr>
              <w:szCs w:val="21"/>
            </w:rPr>
          </w:pPr>
        </w:p>
      </w:sdtContent>
    </w:sdt>
    <w:p>
      <w:pPr>
        <w:pStyle w:val="76"/>
        <w:snapToGrid w:val="0"/>
        <w:spacing w:line="240" w:lineRule="atLeast"/>
        <w:ind w:right="25" w:rightChars="12"/>
        <w:rPr>
          <w:szCs w:val="21"/>
        </w:rPr>
      </w:pPr>
    </w:p>
    <w:p>
      <w:pPr>
        <w:pStyle w:val="79"/>
        <w:numPr>
          <w:ilvl w:val="0"/>
          <w:numId w:val="46"/>
        </w:numPr>
      </w:pPr>
      <w:r>
        <w:rPr>
          <w:rFonts w:hint="eastAsia"/>
        </w:rPr>
        <w:t>应收票据</w:t>
      </w:r>
    </w:p>
    <w:sdt>
      <w:sdtPr>
        <w:rPr>
          <w:rFonts w:hint="eastAsia" w:cs="宋体" w:asciiTheme="minorHAnsi" w:hAnsiTheme="minorHAnsi"/>
          <w:b w:val="0"/>
          <w:bCs w:val="0"/>
          <w:kern w:val="0"/>
          <w:szCs w:val="22"/>
        </w:rPr>
        <w:alias w:val="模块:应收票据分类"/>
        <w:tag w:val="_GBC_c1ce1fc5bd0f42bca82cd02f3a6b623f"/>
        <w:id w:val="25154477"/>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3"/>
              <w:numId w:val="47"/>
            </w:numPr>
          </w:pPr>
          <w:r>
            <w:rPr>
              <w:rFonts w:hint="eastAsia"/>
            </w:rPr>
            <w:t>应收票据分类列示</w:t>
          </w:r>
        </w:p>
        <w:sdt>
          <w:sdtPr>
            <w:alias w:val="是否适用：应收票据分类列示[双击切换]"/>
            <w:tag w:val="_GBC_3c32a2809ab3476a93b88a8155fb0be8"/>
            <w:id w:val="251544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251544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25154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0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65"/>
            <w:gridCol w:w="3146"/>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a48e9b652e5b48b08b05dc5f5dba5744"/>
                <w:id w:val="25154471"/>
                <w:lock w:val="sdtLocked"/>
              </w:sdtPr>
              <w:sdtContent>
                <w:tc>
                  <w:tcPr>
                    <w:tcW w:w="2965" w:type="dxa"/>
                    <w:vAlign w:val="center"/>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25154472"/>
                <w:lock w:val="sdtLocked"/>
              </w:sdtPr>
              <w:sdtContent>
                <w:tc>
                  <w:tcPr>
                    <w:tcW w:w="3146" w:type="dxa"/>
                    <w:vAlign w:val="center"/>
                  </w:tcPr>
                  <w:p>
                    <w:pPr>
                      <w:pStyle w:val="76"/>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25154473"/>
                <w:lock w:val="sdtLocked"/>
              </w:sdtPr>
              <w:sdtContent>
                <w:tc>
                  <w:tcPr>
                    <w:tcW w:w="2894" w:type="dxa"/>
                    <w:vAlign w:val="center"/>
                  </w:tcPr>
                  <w:p>
                    <w:pPr>
                      <w:pStyle w:val="76"/>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eccbe8be962b4f1497dbb55db8b28215"/>
                <w:id w:val="25154474"/>
                <w:lock w:val="sdtLocked"/>
              </w:sdtPr>
              <w:sdtContent>
                <w:tc>
                  <w:tcPr>
                    <w:tcW w:w="2965" w:type="dxa"/>
                  </w:tcPr>
                  <w:p>
                    <w:pPr>
                      <w:pStyle w:val="76"/>
                      <w:autoSpaceDE w:val="0"/>
                      <w:autoSpaceDN w:val="0"/>
                      <w:adjustRightInd w:val="0"/>
                      <w:snapToGrid w:val="0"/>
                      <w:spacing w:line="240" w:lineRule="atLeast"/>
                      <w:rPr>
                        <w:szCs w:val="21"/>
                      </w:rPr>
                    </w:pPr>
                    <w:r>
                      <w:rPr>
                        <w:rFonts w:hint="eastAsia"/>
                        <w:szCs w:val="21"/>
                      </w:rPr>
                      <w:t>银行承兑票据</w:t>
                    </w:r>
                  </w:p>
                </w:tc>
              </w:sdtContent>
            </w:sdt>
            <w:tc>
              <w:tcPr>
                <w:tcW w:w="3146" w:type="dxa"/>
              </w:tcPr>
              <w:p>
                <w:pPr>
                  <w:pStyle w:val="76"/>
                  <w:ind w:right="13"/>
                  <w:jc w:val="right"/>
                  <w:rPr>
                    <w:szCs w:val="21"/>
                  </w:rPr>
                </w:pPr>
                <w:r>
                  <w:rPr>
                    <w:szCs w:val="21"/>
                  </w:rPr>
                  <w:t>7,234,019,276.98</w:t>
                </w:r>
              </w:p>
            </w:tc>
            <w:tc>
              <w:tcPr>
                <w:tcW w:w="2894" w:type="dxa"/>
              </w:tcPr>
              <w:p>
                <w:pPr>
                  <w:pStyle w:val="76"/>
                  <w:ind w:right="13"/>
                  <w:jc w:val="right"/>
                  <w:rPr>
                    <w:szCs w:val="21"/>
                  </w:rPr>
                </w:pPr>
                <w:r>
                  <w:t>3,870,142,185.45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6fc58c64e5c245528e438ae644ab059a"/>
                <w:id w:val="25154475"/>
                <w:lock w:val="sdtLocked"/>
              </w:sdtPr>
              <w:sdtContent>
                <w:tc>
                  <w:tcPr>
                    <w:tcW w:w="2965" w:type="dxa"/>
                  </w:tcPr>
                  <w:p>
                    <w:pPr>
                      <w:pStyle w:val="76"/>
                      <w:autoSpaceDE w:val="0"/>
                      <w:autoSpaceDN w:val="0"/>
                      <w:adjustRightInd w:val="0"/>
                      <w:snapToGrid w:val="0"/>
                      <w:spacing w:line="240" w:lineRule="atLeast"/>
                      <w:rPr>
                        <w:szCs w:val="21"/>
                      </w:rPr>
                    </w:pPr>
                    <w:r>
                      <w:rPr>
                        <w:rFonts w:hint="eastAsia"/>
                        <w:szCs w:val="21"/>
                      </w:rPr>
                      <w:t>商业承兑票据</w:t>
                    </w:r>
                  </w:p>
                </w:tc>
              </w:sdtContent>
            </w:sdt>
            <w:tc>
              <w:tcPr>
                <w:tcW w:w="3146" w:type="dxa"/>
              </w:tcPr>
              <w:p>
                <w:pPr>
                  <w:pStyle w:val="76"/>
                  <w:ind w:right="13"/>
                  <w:jc w:val="right"/>
                  <w:rPr>
                    <w:szCs w:val="21"/>
                  </w:rPr>
                </w:pPr>
              </w:p>
            </w:tc>
            <w:tc>
              <w:tcPr>
                <w:tcW w:w="2894" w:type="dxa"/>
              </w:tcPr>
              <w:p>
                <w:pPr>
                  <w:pStyle w:val="76"/>
                  <w:ind w:right="13"/>
                  <w:jc w:val="right"/>
                  <w:rPr>
                    <w:szCs w:val="21"/>
                  </w:rPr>
                </w:pPr>
                <w:r>
                  <w:t>59,043,185.46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27fe84ac868644fa846c5f158e59921c"/>
                <w:id w:val="25154476"/>
                <w:lock w:val="sdtLocked"/>
              </w:sdtPr>
              <w:sdtContent>
                <w:tc>
                  <w:tcPr>
                    <w:tcW w:w="2965" w:type="dxa"/>
                    <w:vAlign w:val="center"/>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3146" w:type="dxa"/>
              </w:tcPr>
              <w:p>
                <w:pPr>
                  <w:pStyle w:val="76"/>
                  <w:jc w:val="right"/>
                  <w:rPr>
                    <w:szCs w:val="21"/>
                  </w:rPr>
                </w:pPr>
                <w:r>
                  <w:rPr>
                    <w:szCs w:val="21"/>
                  </w:rPr>
                  <w:t>7,234,019,276.98</w:t>
                </w:r>
              </w:p>
            </w:tc>
            <w:tc>
              <w:tcPr>
                <w:tcW w:w="2894" w:type="dxa"/>
              </w:tcPr>
              <w:p>
                <w:pPr>
                  <w:pStyle w:val="76"/>
                  <w:autoSpaceDE w:val="0"/>
                  <w:autoSpaceDN w:val="0"/>
                  <w:adjustRightInd w:val="0"/>
                  <w:jc w:val="right"/>
                  <w:rPr>
                    <w:szCs w:val="21"/>
                  </w:rPr>
                </w:pPr>
                <w:r>
                  <w:t>3,929,185,370.91</w:t>
                </w:r>
              </w:p>
            </w:tc>
          </w:tr>
        </w:tbl>
        <w:p>
          <w:pPr>
            <w:pStyle w:val="76"/>
          </w:pPr>
        </w:p>
      </w:sdtContent>
    </w:sdt>
    <w:p>
      <w:pPr>
        <w:pStyle w:val="76"/>
        <w:snapToGrid w:val="0"/>
        <w:spacing w:line="240" w:lineRule="atLeast"/>
        <w:rPr>
          <w:szCs w:val="21"/>
        </w:rPr>
      </w:pPr>
    </w:p>
    <w:sdt>
      <w:sdtPr>
        <w:rPr>
          <w:rFonts w:hint="eastAsia" w:cs="宋体" w:asciiTheme="minorHAnsi" w:hAnsiTheme="minorHAnsi"/>
          <w:b w:val="0"/>
          <w:bCs w:val="0"/>
          <w:kern w:val="0"/>
          <w:szCs w:val="22"/>
        </w:rPr>
        <w:alias w:val="模块:期末公司已质押的应收票据情况"/>
        <w:tag w:val="_GBC_8fdb3f7098324d0d8b9f6e395abf9009"/>
        <w:id w:val="25154479"/>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80"/>
            <w:numPr>
              <w:ilvl w:val="3"/>
              <w:numId w:val="47"/>
            </w:numPr>
          </w:pPr>
          <w:r>
            <w:t>期末公司已</w:t>
          </w:r>
          <w:r>
            <w:rPr>
              <w:rFonts w:hint="eastAsia"/>
            </w:rPr>
            <w:t>质押</w:t>
          </w:r>
          <w:r>
            <w:t>的应收票据</w:t>
          </w:r>
        </w:p>
        <w:sdt>
          <w:sdtPr>
            <w:alias w:val="是否适用：期末公司已质押的应收票据[双击切换]"/>
            <w:tag w:val="_GBC_3440ef2908e64e51a440106bfa389257"/>
            <w:id w:val="2515447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color w:val="FF0000"/>
              <w:szCs w:val="21"/>
            </w:rPr>
          </w:pPr>
        </w:p>
      </w:sdtContent>
    </w:sdt>
    <w:sdt>
      <w:sdtPr>
        <w:rPr>
          <w:rFonts w:hint="eastAsia" w:cs="宋体" w:asciiTheme="minorHAnsi" w:hAnsiTheme="minorHAnsi"/>
          <w:b w:val="0"/>
          <w:bCs w:val="0"/>
          <w:color w:val="FF0000"/>
          <w:kern w:val="0"/>
          <w:szCs w:val="22"/>
        </w:rPr>
        <w:alias w:val="模块:因出票人无力履约而将票据转为应收账款的票据，以及期末已背书未到期票据"/>
        <w:tag w:val="_GBC_d0a9833415574c7baa9ef176fea05ecf"/>
        <w:id w:val="25154489"/>
        <w:lock w:val="sdtLocked"/>
        <w:placeholder>
          <w:docPart w:val="GBC22222222222222222222222222222"/>
        </w:placeholder>
      </w:sdtPr>
      <w:sdtEndPr>
        <w:rPr>
          <w:rFonts w:hint="eastAsia" w:ascii="Times New Roman" w:hAnsi="Times New Roman" w:cs="Times New Roman"/>
          <w:b w:val="0"/>
          <w:bCs w:val="0"/>
          <w:color w:val="auto"/>
          <w:kern w:val="2"/>
          <w:szCs w:val="24"/>
        </w:rPr>
      </w:sdtEndPr>
      <w:sdtContent>
        <w:p>
          <w:pPr>
            <w:pStyle w:val="80"/>
            <w:numPr>
              <w:ilvl w:val="3"/>
              <w:numId w:val="47"/>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2515448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期末公司已背书或贴现且在资产负债表日尚未到期的应收票据"/>
              <w:tag w:val="_GBC_1a006471fd2344fca1e27a6484895b0f"/>
              <w:id w:val="251544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251544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3050"/>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8eb653a3a24ed29cc795bb9a08fb8e"/>
                <w:id w:val="25154483"/>
                <w:lock w:val="sdtLocked"/>
              </w:sdtPr>
              <w:sdtContent>
                <w:tc>
                  <w:tcPr>
                    <w:tcW w:w="2877" w:type="dxa"/>
                    <w:shd w:val="clear" w:color="auto" w:fill="auto"/>
                    <w:vAlign w:val="center"/>
                  </w:tcPr>
                  <w:p>
                    <w:pPr>
                      <w:pStyle w:val="76"/>
                      <w:jc w:val="center"/>
                      <w:rPr>
                        <w:szCs w:val="21"/>
                      </w:rPr>
                    </w:pPr>
                    <w:r>
                      <w:rPr>
                        <w:rFonts w:hint="eastAsia"/>
                        <w:szCs w:val="21"/>
                      </w:rPr>
                      <w:t>项目</w:t>
                    </w:r>
                  </w:p>
                </w:tc>
              </w:sdtContent>
            </w:sdt>
            <w:sdt>
              <w:sdtPr>
                <w:tag w:val="_PLD_96af9fcfe145402ea8d401a1f6c0d081"/>
                <w:id w:val="25154484"/>
                <w:lock w:val="sdtLocked"/>
              </w:sdtPr>
              <w:sdtContent>
                <w:tc>
                  <w:tcPr>
                    <w:tcW w:w="3050" w:type="dxa"/>
                    <w:shd w:val="clear" w:color="auto" w:fill="auto"/>
                    <w:vAlign w:val="center"/>
                  </w:tcPr>
                  <w:p>
                    <w:pPr>
                      <w:pStyle w:val="76"/>
                      <w:jc w:val="center"/>
                      <w:rPr>
                        <w:szCs w:val="21"/>
                      </w:rPr>
                    </w:pPr>
                    <w:r>
                      <w:rPr>
                        <w:rFonts w:hint="eastAsia"/>
                        <w:szCs w:val="21"/>
                      </w:rPr>
                      <w:t>期末终止确认金额</w:t>
                    </w:r>
                  </w:p>
                </w:tc>
              </w:sdtContent>
            </w:sdt>
            <w:sdt>
              <w:sdtPr>
                <w:tag w:val="_PLD_2efea7e570304a7e9fb54f87b3247807"/>
                <w:id w:val="25154485"/>
                <w:lock w:val="sdtLocked"/>
              </w:sdtPr>
              <w:sdtContent>
                <w:tc>
                  <w:tcPr>
                    <w:tcW w:w="3122" w:type="dxa"/>
                    <w:shd w:val="clear" w:color="auto" w:fill="auto"/>
                    <w:vAlign w:val="center"/>
                  </w:tcPr>
                  <w:p>
                    <w:pPr>
                      <w:pStyle w:val="76"/>
                      <w:jc w:val="center"/>
                      <w:rPr>
                        <w:szCs w:val="21"/>
                      </w:rPr>
                    </w:pPr>
                    <w:r>
                      <w:rPr>
                        <w:rFonts w:hint="eastAsia"/>
                        <w:szCs w:val="21"/>
                      </w:rPr>
                      <w:t>期末未终止确认金额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ac37b72ff744837a73dde57c7667850"/>
                <w:id w:val="25154486"/>
                <w:lock w:val="sdtLocked"/>
              </w:sdtPr>
              <w:sdtContent>
                <w:tc>
                  <w:tcPr>
                    <w:tcW w:w="2877" w:type="dxa"/>
                    <w:shd w:val="clear" w:color="auto" w:fill="auto"/>
                  </w:tcPr>
                  <w:p>
                    <w:pPr>
                      <w:pStyle w:val="76"/>
                      <w:rPr>
                        <w:szCs w:val="21"/>
                      </w:rPr>
                    </w:pPr>
                    <w:r>
                      <w:rPr>
                        <w:rFonts w:hint="eastAsia"/>
                      </w:rPr>
                      <w:t>银行承兑票据</w:t>
                    </w:r>
                  </w:p>
                </w:tc>
              </w:sdtContent>
            </w:sdt>
            <w:tc>
              <w:tcPr>
                <w:tcW w:w="3050" w:type="dxa"/>
                <w:shd w:val="clear" w:color="auto" w:fill="auto"/>
              </w:tcPr>
              <w:p>
                <w:pPr>
                  <w:pStyle w:val="76"/>
                  <w:jc w:val="right"/>
                  <w:rPr>
                    <w:szCs w:val="21"/>
                  </w:rPr>
                </w:pPr>
                <w:r>
                  <w:t>4,410,448,799.68</w:t>
                </w:r>
              </w:p>
            </w:tc>
            <w:tc>
              <w:tcPr>
                <w:tcW w:w="3122"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7056e05394444c786935252d8a3c35e"/>
                <w:id w:val="25154487"/>
                <w:lock w:val="sdtLocked"/>
              </w:sdtPr>
              <w:sdtContent>
                <w:tc>
                  <w:tcPr>
                    <w:tcW w:w="2877" w:type="dxa"/>
                    <w:shd w:val="clear" w:color="auto" w:fill="auto"/>
                  </w:tcPr>
                  <w:p>
                    <w:pPr>
                      <w:pStyle w:val="76"/>
                    </w:pPr>
                    <w:r>
                      <w:rPr>
                        <w:rFonts w:hint="eastAsia"/>
                      </w:rPr>
                      <w:t>商业承兑票据</w:t>
                    </w:r>
                  </w:p>
                </w:tc>
              </w:sdtContent>
            </w:sdt>
            <w:tc>
              <w:tcPr>
                <w:tcW w:w="3050" w:type="dxa"/>
                <w:shd w:val="clear" w:color="auto" w:fill="auto"/>
              </w:tcPr>
              <w:p>
                <w:pPr>
                  <w:pStyle w:val="76"/>
                  <w:jc w:val="right"/>
                  <w:rPr>
                    <w:szCs w:val="21"/>
                  </w:rPr>
                </w:pPr>
              </w:p>
            </w:tc>
            <w:tc>
              <w:tcPr>
                <w:tcW w:w="3122"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e9a2327d66e4c329946796965b1c500"/>
                <w:id w:val="25154488"/>
                <w:lock w:val="sdtLocked"/>
              </w:sdtPr>
              <w:sdtContent>
                <w:tc>
                  <w:tcPr>
                    <w:tcW w:w="2877" w:type="dxa"/>
                    <w:shd w:val="clear" w:color="auto" w:fill="auto"/>
                    <w:vAlign w:val="center"/>
                  </w:tcPr>
                  <w:p>
                    <w:pPr>
                      <w:pStyle w:val="76"/>
                      <w:jc w:val="center"/>
                    </w:pPr>
                    <w:r>
                      <w:rPr>
                        <w:rFonts w:hint="eastAsia"/>
                      </w:rPr>
                      <w:t>合计</w:t>
                    </w:r>
                  </w:p>
                </w:tc>
              </w:sdtContent>
            </w:sdt>
            <w:tc>
              <w:tcPr>
                <w:tcW w:w="3050" w:type="dxa"/>
                <w:shd w:val="clear" w:color="auto" w:fill="auto"/>
              </w:tcPr>
              <w:p>
                <w:pPr>
                  <w:pStyle w:val="76"/>
                  <w:jc w:val="right"/>
                  <w:rPr>
                    <w:szCs w:val="21"/>
                  </w:rPr>
                </w:pPr>
                <w:r>
                  <w:t>4,410,448,799.68</w:t>
                </w:r>
              </w:p>
            </w:tc>
            <w:tc>
              <w:tcPr>
                <w:tcW w:w="3122" w:type="dxa"/>
                <w:shd w:val="clear" w:color="auto" w:fill="auto"/>
              </w:tcPr>
              <w:p>
                <w:pPr>
                  <w:pStyle w:val="76"/>
                  <w:jc w:val="right"/>
                  <w:rPr>
                    <w:szCs w:val="21"/>
                  </w:rPr>
                </w:pPr>
              </w:p>
            </w:tc>
          </w:tr>
        </w:tbl>
        <w:p>
          <w:pPr>
            <w:pStyle w:val="76"/>
            <w:rPr>
              <w:rFonts w:ascii="Times New Roman" w:hAnsi="Times New Roman" w:cs="Times New Roman"/>
              <w:kern w:val="2"/>
            </w:rPr>
          </w:pPr>
        </w:p>
      </w:sdtContent>
    </w:sdt>
    <w:sdt>
      <w:sdtPr>
        <w:rPr>
          <w:rFonts w:hint="eastAsia" w:ascii="Times New Roman" w:hAnsi="Times New Roman" w:cs="宋体"/>
          <w:b w:val="0"/>
          <w:bCs w:val="0"/>
          <w:kern w:val="0"/>
          <w:szCs w:val="24"/>
        </w:rPr>
        <w:alias w:val="模块:期末公司因出票人无力履约而将其转为应收账款的票据"/>
        <w:tag w:val="_GBC_83d7650885dc43898bcaaa7b53608492"/>
        <w:id w:val="25154491"/>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47"/>
            </w:numPr>
            <w:jc w:val="left"/>
            <w:rPr>
              <w:rFonts w:ascii="Times New Roman" w:hAnsi="Times New Roman"/>
            </w:rPr>
          </w:pPr>
          <w:r>
            <w:rPr>
              <w:rFonts w:hint="eastAsia" w:ascii="Times New Roman" w:hAnsi="Times New Roman"/>
            </w:rPr>
            <w:t>期末公司因出票人</w:t>
          </w:r>
          <w:r>
            <w:rPr>
              <w:rFonts w:hint="eastAsia"/>
            </w:rPr>
            <w:t>未</w:t>
          </w:r>
          <w:r>
            <w:rPr>
              <w:rFonts w:hint="eastAsia" w:ascii="Times New Roman" w:hAnsi="Times New Roman"/>
            </w:rPr>
            <w:t>履约而将其转应收账款的票据</w:t>
          </w:r>
        </w:p>
        <w:sdt>
          <w:sdtPr>
            <w:alias w:val="是否适用：期末公司因出票人未履约而将其转应收账款的票据[双击切换]"/>
            <w:tag w:val="_GBC_11366a7f124045f8a578f129009f9b83"/>
            <w:id w:val="2515449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Theme="minorHAnsi" w:hAnsiTheme="minorHAnsi" w:cstheme="minorBidi"/>
          <w:b/>
          <w:bCs/>
          <w:szCs w:val="22"/>
        </w:rPr>
        <w:alias w:val="模块:应收票据其他说明"/>
        <w:tag w:val="_GBC_c7095bafbab543a9bb9dcc587154df29"/>
        <w:id w:val="25154493"/>
        <w:lock w:val="sdtLocked"/>
        <w:placeholder>
          <w:docPart w:val="GBC22222222222222222222222222222"/>
        </w:placeholder>
      </w:sdtPr>
      <w:sdtEndPr>
        <w:rPr>
          <w:rFonts w:hint="default" w:ascii="Times New Roman" w:hAnsi="Times New Roman" w:cs="Times New Roman"/>
          <w:b w:val="0"/>
          <w:bCs w:val="0"/>
          <w:szCs w:val="24"/>
        </w:rPr>
      </w:sdtEndPr>
      <w:sdtContent>
        <w:p>
          <w:pPr>
            <w:pStyle w:val="76"/>
          </w:pPr>
          <w:r>
            <w:rPr>
              <w:rFonts w:hint="eastAsia"/>
            </w:rPr>
            <w:t>其他说明</w:t>
          </w:r>
        </w:p>
        <w:sdt>
          <w:sdtPr>
            <w:alias w:val="是否适用：应收票据的说明[双击切换]"/>
            <w:tag w:val="_GBC_704e24e70b65463883e10335ce93a1ac"/>
            <w:id w:val="2515449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pPr>
      <w:r>
        <w:rPr>
          <w:rFonts w:hint="eastAsia"/>
        </w:rPr>
        <w:t>应收账款</w:t>
      </w:r>
    </w:p>
    <w:sdt>
      <w:sdtPr>
        <w:rPr>
          <w:rFonts w:hint="eastAsia" w:asciiTheme="minorHAnsi" w:hAnsiTheme="minorHAnsi" w:cstheme="minorBidi"/>
          <w:b w:val="0"/>
          <w:bCs w:val="0"/>
          <w:kern w:val="0"/>
          <w:szCs w:val="22"/>
        </w:rPr>
        <w:alias w:val="模块:应收账款按种类披露"/>
        <w:tag w:val="_GBC_574c8609ba154bda94573cc41d2b5e70"/>
        <w:id w:val="25154518"/>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3"/>
              <w:numId w:val="48"/>
            </w:numPr>
            <w:tabs>
              <w:tab w:val="left" w:pos="574"/>
            </w:tabs>
          </w:pPr>
          <w:r>
            <w:rPr>
              <w:rFonts w:hint="eastAsia"/>
            </w:rPr>
            <w:t>应收账款分类披露</w:t>
          </w:r>
        </w:p>
        <w:sdt>
          <w:sdtPr>
            <w:alias w:val="是否适用：应收账款分类披露[双击切换]"/>
            <w:tag w:val="_GBC_fc55e6778e08412caa3e7b9e7a1a0f85"/>
            <w:id w:val="2515449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251544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251544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10631"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413"/>
            <w:gridCol w:w="1133"/>
            <w:gridCol w:w="572"/>
            <w:gridCol w:w="1135"/>
            <w:gridCol w:w="708"/>
            <w:gridCol w:w="1135"/>
            <w:gridCol w:w="1135"/>
            <w:gridCol w:w="570"/>
            <w:gridCol w:w="1133"/>
            <w:gridCol w:w="57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59" w:hRule="atLeast"/>
            </w:trPr>
            <w:sdt>
              <w:sdtPr>
                <w:rPr>
                  <w:sz w:val="18"/>
                  <w:szCs w:val="18"/>
                </w:rPr>
                <w:tag w:val="_PLD_f93c39d00be746a089ae7072fd5d361e"/>
                <w:id w:val="25154497"/>
                <w:lock w:val="sdtLocked"/>
              </w:sdtPr>
              <w:sdtEndPr>
                <w:rPr>
                  <w:sz w:val="18"/>
                  <w:szCs w:val="18"/>
                </w:rPr>
              </w:sdtEndPr>
              <w:sdtContent>
                <w:tc>
                  <w:tcPr>
                    <w:tcW w:w="1413"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类别</w:t>
                    </w:r>
                  </w:p>
                </w:tc>
              </w:sdtContent>
            </w:sdt>
            <w:sdt>
              <w:sdtPr>
                <w:rPr>
                  <w:sz w:val="18"/>
                  <w:szCs w:val="18"/>
                </w:rPr>
                <w:tag w:val="_PLD_2c862ab1156e427fa2982d18a7e5c965"/>
                <w:id w:val="25154498"/>
                <w:lock w:val="sdtLocked"/>
              </w:sdtPr>
              <w:sdtEndPr>
                <w:rPr>
                  <w:sz w:val="18"/>
                  <w:szCs w:val="18"/>
                </w:rPr>
              </w:sdtEndPr>
              <w:sdtContent>
                <w:tc>
                  <w:tcPr>
                    <w:tcW w:w="4683" w:type="dxa"/>
                    <w:gridSpan w:val="5"/>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期末余额</w:t>
                    </w:r>
                  </w:p>
                </w:tc>
              </w:sdtContent>
            </w:sdt>
            <w:sdt>
              <w:sdtPr>
                <w:rPr>
                  <w:sz w:val="18"/>
                  <w:szCs w:val="18"/>
                </w:rPr>
                <w:tag w:val="_PLD_7ded466787fd4ec5b36432495a6ee149"/>
                <w:id w:val="25154499"/>
                <w:lock w:val="sdtLocked"/>
              </w:sdtPr>
              <w:sdtEndPr>
                <w:rPr>
                  <w:sz w:val="18"/>
                  <w:szCs w:val="18"/>
                </w:rPr>
              </w:sdtEndPr>
              <w:sdtContent>
                <w:tc>
                  <w:tcPr>
                    <w:tcW w:w="4535" w:type="dxa"/>
                    <w:gridSpan w:val="5"/>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27" w:hRule="atLeast"/>
            </w:trPr>
            <w:tc>
              <w:tcPr>
                <w:tcW w:w="1413" w:type="dxa"/>
                <w:vMerge w:val="continue"/>
                <w:tcBorders>
                  <w:left w:val="single" w:color="auto" w:sz="4" w:space="0"/>
                  <w:right w:val="single" w:color="auto" w:sz="4" w:space="0"/>
                </w:tcBorders>
                <w:vAlign w:val="center"/>
              </w:tcPr>
              <w:p>
                <w:pPr>
                  <w:pStyle w:val="76"/>
                  <w:rPr>
                    <w:sz w:val="18"/>
                    <w:szCs w:val="18"/>
                  </w:rPr>
                </w:pPr>
              </w:p>
            </w:tc>
            <w:sdt>
              <w:sdtPr>
                <w:rPr>
                  <w:sz w:val="18"/>
                  <w:szCs w:val="18"/>
                </w:rPr>
                <w:tag w:val="_PLD_7a6d50471415499f8a4f24bba7ab9811"/>
                <w:id w:val="25154500"/>
                <w:lock w:val="sdtLocked"/>
              </w:sdtPr>
              <w:sdtEndPr>
                <w:rPr>
                  <w:sz w:val="18"/>
                  <w:szCs w:val="18"/>
                </w:rPr>
              </w:sdtEndPr>
              <w:sdtContent>
                <w:tc>
                  <w:tcPr>
                    <w:tcW w:w="1705"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dbce8c28fc0940099597c6e8bba45fc6"/>
                <w:id w:val="25154501"/>
                <w:lock w:val="sdtLocked"/>
              </w:sdtPr>
              <w:sdtEndPr>
                <w:rPr>
                  <w:sz w:val="18"/>
                  <w:szCs w:val="18"/>
                </w:rPr>
              </w:sdtEndPr>
              <w:sdtContent>
                <w:tc>
                  <w:tcPr>
                    <w:tcW w:w="1843"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sdt>
              <w:sdtPr>
                <w:rPr>
                  <w:sz w:val="18"/>
                  <w:szCs w:val="18"/>
                </w:rPr>
                <w:tag w:val="_PLD_842bfd6b476048cdbc0500631257b6f9"/>
                <w:id w:val="25154502"/>
                <w:lock w:val="sdtLocked"/>
              </w:sdtPr>
              <w:sdtEndPr>
                <w:rPr>
                  <w:sz w:val="18"/>
                  <w:szCs w:val="18"/>
                </w:rPr>
              </w:sdtEndPr>
              <w:sdtContent>
                <w:tc>
                  <w:tcPr>
                    <w:tcW w:w="1135"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w:t>
                    </w:r>
                  </w:p>
                  <w:p>
                    <w:pPr>
                      <w:pStyle w:val="76"/>
                      <w:jc w:val="center"/>
                      <w:rPr>
                        <w:sz w:val="18"/>
                        <w:szCs w:val="18"/>
                      </w:rPr>
                    </w:pPr>
                    <w:r>
                      <w:rPr>
                        <w:rFonts w:hint="eastAsia"/>
                        <w:sz w:val="18"/>
                        <w:szCs w:val="18"/>
                      </w:rPr>
                      <w:t>价值</w:t>
                    </w:r>
                  </w:p>
                </w:tc>
              </w:sdtContent>
            </w:sdt>
            <w:sdt>
              <w:sdtPr>
                <w:rPr>
                  <w:sz w:val="18"/>
                  <w:szCs w:val="18"/>
                </w:rPr>
                <w:tag w:val="_PLD_93320d38f54b4f44b6f9a0ae2d0e6b03"/>
                <w:id w:val="25154503"/>
                <w:lock w:val="sdtLocked"/>
              </w:sdtPr>
              <w:sdtEndPr>
                <w:rPr>
                  <w:sz w:val="18"/>
                  <w:szCs w:val="18"/>
                </w:rPr>
              </w:sdtEndPr>
              <w:sdtContent>
                <w:tc>
                  <w:tcPr>
                    <w:tcW w:w="1705" w:type="dxa"/>
                    <w:gridSpan w:val="2"/>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d1088d45f0434040a1b62a9c3c7058da"/>
                <w:id w:val="25154504"/>
                <w:lock w:val="sdtLocked"/>
              </w:sdtPr>
              <w:sdtEndPr>
                <w:rPr>
                  <w:sz w:val="18"/>
                  <w:szCs w:val="18"/>
                </w:rPr>
              </w:sdtEndPr>
              <w:sdtContent>
                <w:tc>
                  <w:tcPr>
                    <w:tcW w:w="1703" w:type="dxa"/>
                    <w:gridSpan w:val="2"/>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sdt>
              <w:sdtPr>
                <w:rPr>
                  <w:sz w:val="18"/>
                  <w:szCs w:val="18"/>
                </w:rPr>
                <w:tag w:val="_PLD_f3cb2e70f6f843099c819973f3410dff"/>
                <w:id w:val="25154505"/>
                <w:lock w:val="sdtLocked"/>
              </w:sdtPr>
              <w:sdtEndPr>
                <w:rPr>
                  <w:sz w:val="18"/>
                  <w:szCs w:val="18"/>
                </w:rPr>
              </w:sdtEndPr>
              <w:sdtContent>
                <w:tc>
                  <w:tcPr>
                    <w:tcW w:w="1127"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w:t>
                    </w:r>
                  </w:p>
                  <w:p>
                    <w:pPr>
                      <w:pStyle w:val="76"/>
                      <w:jc w:val="center"/>
                      <w:rPr>
                        <w:sz w:val="18"/>
                        <w:szCs w:val="18"/>
                      </w:rPr>
                    </w:pPr>
                    <w:r>
                      <w:rPr>
                        <w:rFonts w:hint="eastAsia"/>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375" w:hRule="atLeast"/>
            </w:trPr>
            <w:tc>
              <w:tcPr>
                <w:tcW w:w="1413" w:type="dxa"/>
                <w:vMerge w:val="continue"/>
                <w:tcBorders>
                  <w:left w:val="single" w:color="auto" w:sz="4" w:space="0"/>
                  <w:bottom w:val="single" w:color="auto" w:sz="4" w:space="0"/>
                  <w:right w:val="single" w:color="auto" w:sz="4" w:space="0"/>
                </w:tcBorders>
                <w:vAlign w:val="center"/>
              </w:tcPr>
              <w:p>
                <w:pPr>
                  <w:pStyle w:val="76"/>
                  <w:rPr>
                    <w:sz w:val="18"/>
                    <w:szCs w:val="18"/>
                  </w:rPr>
                </w:pPr>
              </w:p>
            </w:tc>
            <w:sdt>
              <w:sdtPr>
                <w:rPr>
                  <w:sz w:val="18"/>
                  <w:szCs w:val="18"/>
                </w:rPr>
                <w:tag w:val="_PLD_8fe91daea6294f8abf420a59b453232e"/>
                <w:id w:val="25154506"/>
                <w:lock w:val="sdtLocked"/>
              </w:sdtPr>
              <w:sdtEndPr>
                <w:rPr>
                  <w:sz w:val="18"/>
                  <w:szCs w:val="18"/>
                </w:rPr>
              </w:sdtEndPr>
              <w:sdtContent>
                <w:tc>
                  <w:tcPr>
                    <w:tcW w:w="1133"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f3d8c51a725a4209b11d1436a559c20e"/>
                <w:id w:val="25154507"/>
                <w:lock w:val="sdtLocked"/>
              </w:sdtPr>
              <w:sdtEndPr>
                <w:rPr>
                  <w:sz w:val="18"/>
                  <w:szCs w:val="18"/>
                </w:rPr>
              </w:sdtEndPr>
              <w:sdtContent>
                <w:tc>
                  <w:tcPr>
                    <w:tcW w:w="572"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比例</w:t>
                    </w:r>
                    <w:r>
                      <w:rPr>
                        <w:sz w:val="18"/>
                        <w:szCs w:val="18"/>
                      </w:rPr>
                      <w:t>(%)</w:t>
                    </w:r>
                  </w:p>
                </w:tc>
              </w:sdtContent>
            </w:sdt>
            <w:sdt>
              <w:sdtPr>
                <w:rPr>
                  <w:sz w:val="18"/>
                  <w:szCs w:val="18"/>
                </w:rPr>
                <w:tag w:val="_PLD_410430e527e9498bae186c12515d0ef1"/>
                <w:id w:val="25154508"/>
                <w:lock w:val="sdtLocked"/>
              </w:sdtPr>
              <w:sdtEndPr>
                <w:rPr>
                  <w:sz w:val="18"/>
                  <w:szCs w:val="18"/>
                </w:rPr>
              </w:sdtEndPr>
              <w:sdtContent>
                <w:tc>
                  <w:tcPr>
                    <w:tcW w:w="1135"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731a14a8b7f6458a93135e63ff6de9b4"/>
                <w:id w:val="25154509"/>
                <w:lock w:val="sdtLocked"/>
              </w:sdtPr>
              <w:sdtEndPr>
                <w:rPr>
                  <w:sz w:val="18"/>
                  <w:szCs w:val="18"/>
                </w:rPr>
              </w:sdtEndPr>
              <w:sdtContent>
                <w:tc>
                  <w:tcPr>
                    <w:tcW w:w="708"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计提比例</w:t>
                    </w:r>
                    <w:r>
                      <w:rPr>
                        <w:sz w:val="18"/>
                        <w:szCs w:val="18"/>
                      </w:rPr>
                      <w:t>(%)</w:t>
                    </w:r>
                  </w:p>
                </w:tc>
              </w:sdtContent>
            </w:sdt>
            <w:tc>
              <w:tcPr>
                <w:tcW w:w="1135" w:type="dxa"/>
                <w:vMerge w:val="continue"/>
                <w:tcBorders>
                  <w:left w:val="single" w:color="auto" w:sz="4" w:space="0"/>
                  <w:bottom w:val="single" w:color="auto" w:sz="4" w:space="0"/>
                  <w:right w:val="single" w:color="auto" w:sz="4" w:space="0"/>
                </w:tcBorders>
                <w:vAlign w:val="center"/>
              </w:tcPr>
              <w:p>
                <w:pPr>
                  <w:pStyle w:val="76"/>
                  <w:jc w:val="center"/>
                  <w:rPr>
                    <w:sz w:val="18"/>
                    <w:szCs w:val="18"/>
                  </w:rPr>
                </w:pPr>
              </w:p>
            </w:tc>
            <w:sdt>
              <w:sdtPr>
                <w:rPr>
                  <w:sz w:val="18"/>
                  <w:szCs w:val="18"/>
                </w:rPr>
                <w:tag w:val="_PLD_271b4a608b064e3f976c5eb08824266d"/>
                <w:id w:val="25154510"/>
                <w:lock w:val="sdtLocked"/>
              </w:sdtPr>
              <w:sdtEndPr>
                <w:rPr>
                  <w:sz w:val="18"/>
                  <w:szCs w:val="18"/>
                </w:rPr>
              </w:sdtEndPr>
              <w:sdtContent>
                <w:tc>
                  <w:tcPr>
                    <w:tcW w:w="1135"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970fea0422744a8ca8bc4dae02bf9ae9"/>
                <w:id w:val="25154511"/>
                <w:lock w:val="sdtLocked"/>
              </w:sdtPr>
              <w:sdtEndPr>
                <w:rPr>
                  <w:sz w:val="18"/>
                  <w:szCs w:val="18"/>
                </w:rPr>
              </w:sdtEndPr>
              <w:sdtContent>
                <w:tc>
                  <w:tcPr>
                    <w:tcW w:w="570"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比例</w:t>
                    </w:r>
                    <w:r>
                      <w:rPr>
                        <w:sz w:val="18"/>
                        <w:szCs w:val="18"/>
                      </w:rPr>
                      <w:t>(%)</w:t>
                    </w:r>
                  </w:p>
                </w:tc>
              </w:sdtContent>
            </w:sdt>
            <w:sdt>
              <w:sdtPr>
                <w:rPr>
                  <w:sz w:val="18"/>
                  <w:szCs w:val="18"/>
                </w:rPr>
                <w:tag w:val="_PLD_838f5da7ede242e985ee983a67a05e47"/>
                <w:id w:val="25154512"/>
                <w:lock w:val="sdtLocked"/>
              </w:sdtPr>
              <w:sdtEndPr>
                <w:rPr>
                  <w:sz w:val="18"/>
                  <w:szCs w:val="18"/>
                </w:rPr>
              </w:sdtEndPr>
              <w:sdtContent>
                <w:tc>
                  <w:tcPr>
                    <w:tcW w:w="1133"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73a3caf292a84fbeb9057053a9afa67e"/>
                <w:id w:val="25154513"/>
                <w:lock w:val="sdtLocked"/>
              </w:sdtPr>
              <w:sdtEndPr>
                <w:rPr>
                  <w:sz w:val="18"/>
                  <w:szCs w:val="18"/>
                </w:rPr>
              </w:sdtEndPr>
              <w:sdtContent>
                <w:tc>
                  <w:tcPr>
                    <w:tcW w:w="570"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计提比例</w:t>
                    </w:r>
                    <w:r>
                      <w:rPr>
                        <w:sz w:val="18"/>
                        <w:szCs w:val="18"/>
                      </w:rPr>
                      <w:t>(%)</w:t>
                    </w:r>
                  </w:p>
                </w:tc>
              </w:sdtContent>
            </w:sdt>
            <w:tc>
              <w:tcPr>
                <w:tcW w:w="1127" w:type="dxa"/>
                <w:vMerge w:val="continue"/>
                <w:tcBorders>
                  <w:left w:val="single" w:color="auto" w:sz="4" w:space="0"/>
                  <w:bottom w:val="single" w:color="auto" w:sz="4" w:space="0"/>
                  <w:right w:val="single" w:color="auto" w:sz="4" w:space="0"/>
                </w:tcBorders>
              </w:tcPr>
              <w:p>
                <w:pPr>
                  <w:pStyle w:val="76"/>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2f990de3779c4dde91baa0a9b998347d"/>
                <w:id w:val="25154514"/>
                <w:lock w:val="sdtLocked"/>
              </w:sdtPr>
              <w:sdtEndPr>
                <w:rPr>
                  <w:sz w:val="18"/>
                  <w:szCs w:val="18"/>
                </w:rPr>
              </w:sdtEndPr>
              <w:sdtContent>
                <w:tc>
                  <w:tcPr>
                    <w:tcW w:w="1413" w:type="dxa"/>
                    <w:tcBorders>
                      <w:top w:val="single" w:color="auto" w:sz="4" w:space="0"/>
                      <w:left w:val="single" w:color="auto" w:sz="4" w:space="0"/>
                      <w:bottom w:val="single" w:color="auto" w:sz="4" w:space="0"/>
                      <w:right w:val="single" w:color="auto" w:sz="4" w:space="0"/>
                    </w:tcBorders>
                  </w:tcPr>
                  <w:p>
                    <w:pPr>
                      <w:pStyle w:val="76"/>
                      <w:rPr>
                        <w:sz w:val="18"/>
                        <w:szCs w:val="18"/>
                      </w:rPr>
                    </w:pPr>
                    <w:r>
                      <w:rPr>
                        <w:rFonts w:hint="eastAsia"/>
                        <w:sz w:val="18"/>
                        <w:szCs w:val="18"/>
                      </w:rPr>
                      <w:t>单项金额重大并单独计提坏账准备的应收账款</w:t>
                    </w:r>
                  </w:p>
                </w:tc>
              </w:sdtContent>
            </w:sdt>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17,000,000.00</w:t>
                </w:r>
              </w:p>
            </w:tc>
            <w:tc>
              <w:tcPr>
                <w:tcW w:w="57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5.19</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17,000,000.00</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w:t>
                </w:r>
                <w:r>
                  <w:rPr>
                    <w:rFonts w:hint="eastAsia" w:ascii="Arial Narrow" w:hAnsi="Arial Narrow"/>
                    <w:sz w:val="18"/>
                    <w:szCs w:val="18"/>
                  </w:rPr>
                  <w:t>.00</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17,000,000.00</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6.21</w:t>
                </w:r>
              </w:p>
            </w:tc>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17,000,000.00</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100.00</w:t>
                </w:r>
              </w:p>
            </w:tc>
            <w:tc>
              <w:tcPr>
                <w:tcW w:w="1127"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5a8892dc26b3498ea8a3831678892302"/>
                <w:id w:val="25154515"/>
                <w:lock w:val="sdtLocked"/>
              </w:sdtPr>
              <w:sdtEndPr>
                <w:rPr>
                  <w:sz w:val="18"/>
                  <w:szCs w:val="18"/>
                </w:rPr>
              </w:sdtEndPr>
              <w:sdtContent>
                <w:tc>
                  <w:tcPr>
                    <w:tcW w:w="1413" w:type="dxa"/>
                    <w:tcBorders>
                      <w:top w:val="single" w:color="auto" w:sz="4" w:space="0"/>
                      <w:left w:val="single" w:color="auto" w:sz="4" w:space="0"/>
                      <w:bottom w:val="single" w:color="auto" w:sz="4" w:space="0"/>
                      <w:right w:val="single" w:color="auto" w:sz="4" w:space="0"/>
                    </w:tcBorders>
                  </w:tcPr>
                  <w:p>
                    <w:pPr>
                      <w:pStyle w:val="76"/>
                      <w:rPr>
                        <w:sz w:val="18"/>
                        <w:szCs w:val="18"/>
                      </w:rPr>
                    </w:pPr>
                    <w:r>
                      <w:rPr>
                        <w:rFonts w:hint="eastAsia"/>
                        <w:sz w:val="18"/>
                        <w:szCs w:val="18"/>
                      </w:rPr>
                      <w:t>按信用风险特征组合计提坏账准备的应收账款</w:t>
                    </w:r>
                  </w:p>
                </w:tc>
              </w:sdtContent>
            </w:sdt>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310,116,213.12</w:t>
                </w:r>
              </w:p>
            </w:tc>
            <w:tc>
              <w:tcPr>
                <w:tcW w:w="57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94.67</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17,605,332.63</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5.68</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292,510,880.49</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256,237,092.33</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93.62</w:t>
                </w:r>
              </w:p>
            </w:tc>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17,605,332.63</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6.87</w:t>
                </w:r>
              </w:p>
            </w:tc>
            <w:tc>
              <w:tcPr>
                <w:tcW w:w="1127"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238,631,759.70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c5e34a1c37e84ccd97b5d5b93543260f"/>
                <w:id w:val="25154516"/>
                <w:lock w:val="sdtLocked"/>
              </w:sdtPr>
              <w:sdtEndPr>
                <w:rPr>
                  <w:sz w:val="18"/>
                  <w:szCs w:val="18"/>
                </w:rPr>
              </w:sdtEndPr>
              <w:sdtContent>
                <w:tc>
                  <w:tcPr>
                    <w:tcW w:w="1413" w:type="dxa"/>
                    <w:tcBorders>
                      <w:top w:val="single" w:color="auto" w:sz="4" w:space="0"/>
                      <w:left w:val="single" w:color="auto" w:sz="4" w:space="0"/>
                      <w:bottom w:val="single" w:color="auto" w:sz="4" w:space="0"/>
                      <w:right w:val="single" w:color="auto" w:sz="4" w:space="0"/>
                    </w:tcBorders>
                  </w:tcPr>
                  <w:p>
                    <w:pPr>
                      <w:pStyle w:val="76"/>
                      <w:rPr>
                        <w:sz w:val="18"/>
                        <w:szCs w:val="18"/>
                      </w:rPr>
                    </w:pPr>
                    <w:r>
                      <w:rPr>
                        <w:rFonts w:hint="eastAsia"/>
                        <w:sz w:val="18"/>
                        <w:szCs w:val="18"/>
                      </w:rPr>
                      <w:t>单项金额不重大但单独计提坏账准备的应收账款</w:t>
                    </w:r>
                  </w:p>
                </w:tc>
              </w:sdtContent>
            </w:sdt>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459,920.56</w:t>
                </w:r>
              </w:p>
            </w:tc>
            <w:tc>
              <w:tcPr>
                <w:tcW w:w="57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0.14</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459,920.56</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w:t>
                </w:r>
                <w:r>
                  <w:rPr>
                    <w:rFonts w:hint="eastAsia" w:ascii="Arial Narrow" w:hAnsi="Arial Narrow"/>
                    <w:sz w:val="18"/>
                    <w:szCs w:val="18"/>
                  </w:rPr>
                  <w:t>.00</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0.00</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459,920.56</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0.17</w:t>
                </w:r>
              </w:p>
            </w:tc>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459,920.56</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100.00</w:t>
                </w:r>
              </w:p>
            </w:tc>
            <w:tc>
              <w:tcPr>
                <w:tcW w:w="1127"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18bc727dbe684b699adb6915b4fcb290"/>
                <w:id w:val="25154517"/>
                <w:lock w:val="sdtLocked"/>
              </w:sdtPr>
              <w:sdtEndPr>
                <w:rPr>
                  <w:sz w:val="18"/>
                  <w:szCs w:val="18"/>
                </w:rPr>
              </w:sdtEndPr>
              <w:sdtContent>
                <w:tc>
                  <w:tcPr>
                    <w:tcW w:w="1413"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合计</w:t>
                    </w:r>
                  </w:p>
                </w:tc>
              </w:sdtContent>
            </w:sdt>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327,576,133.68</w:t>
                </w:r>
              </w:p>
            </w:tc>
            <w:tc>
              <w:tcPr>
                <w:tcW w:w="57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35,065,253.19</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292,510,880.49</w:t>
                </w:r>
              </w:p>
            </w:tc>
            <w:tc>
              <w:tcPr>
                <w:tcW w:w="113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273,697,012.89</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w:t>
                </w:r>
              </w:p>
            </w:tc>
            <w:tc>
              <w:tcPr>
                <w:tcW w:w="11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35,065,253.19</w:t>
                </w:r>
              </w:p>
            </w:tc>
            <w:tc>
              <w:tcPr>
                <w:tcW w:w="57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w:t>
                </w:r>
              </w:p>
            </w:tc>
            <w:tc>
              <w:tcPr>
                <w:tcW w:w="1127"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238,631,759.70</w:t>
                </w:r>
              </w:p>
            </w:tc>
          </w:tr>
        </w:tbl>
        <w:p>
          <w:pPr>
            <w:pStyle w:val="76"/>
          </w:pPr>
        </w:p>
      </w:sdtContent>
    </w:sdt>
    <w:p>
      <w:pPr>
        <w:pStyle w:val="76"/>
      </w:pPr>
    </w:p>
    <w:sdt>
      <w:sdtPr>
        <w:rPr>
          <w:rFonts w:hint="eastAsia"/>
          <w:szCs w:val="21"/>
        </w:rPr>
        <w:alias w:val="模块:单项金额重大并单项计提坏帐准备的应收账款　　　　　　　　　..."/>
        <w:tag w:val="_GBC_ced4a5687ec6408b918f969002906c1b"/>
        <w:id w:val="25154530"/>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25154519"/>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a4aba215a45c4b018f5412501f081c9d"/>
              <w:id w:val="25154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b4214e3e9af34f82b486653760a050ea"/>
              <w:id w:val="251545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94" w:type="dxa"/>
            <w:tblLayout w:type="fixed"/>
            <w:tblCellMar>
              <w:top w:w="0" w:type="dxa"/>
              <w:left w:w="108" w:type="dxa"/>
              <w:bottom w:w="0" w:type="dxa"/>
              <w:right w:w="108" w:type="dxa"/>
            </w:tblCellMar>
          </w:tblPr>
          <w:tblGrid>
            <w:gridCol w:w="1928"/>
            <w:gridCol w:w="1670"/>
            <w:gridCol w:w="1857"/>
            <w:gridCol w:w="1710"/>
            <w:gridCol w:w="1884"/>
          </w:tblGrid>
          <w:tr>
            <w:tblPrEx>
              <w:tblLayout w:type="fixed"/>
            </w:tblPrEx>
            <w:sdt>
              <w:sdtPr>
                <w:tag w:val="_PLD_bd13470e63484464855a0b91ff9a435e"/>
                <w:id w:val="25154522"/>
                <w:lock w:val="sdtLocked"/>
              </w:sdtPr>
              <w:sdtContent>
                <w:tc>
                  <w:tcPr>
                    <w:tcW w:w="1928" w:type="dxa"/>
                    <w:vMerge w:val="restart"/>
                    <w:tcBorders>
                      <w:top w:val="single" w:color="auto" w:sz="4" w:space="0"/>
                      <w:left w:val="single" w:color="auto" w:sz="4" w:space="0"/>
                      <w:right w:val="single" w:color="auto" w:sz="4" w:space="0"/>
                    </w:tcBorders>
                    <w:vAlign w:val="center"/>
                  </w:tcPr>
                  <w:p>
                    <w:pPr>
                      <w:pStyle w:val="76"/>
                      <w:jc w:val="center"/>
                      <w:rPr>
                        <w:szCs w:val="21"/>
                      </w:rPr>
                    </w:pPr>
                    <w:r>
                      <w:rPr>
                        <w:rFonts w:hint="eastAsia"/>
                        <w:szCs w:val="21"/>
                      </w:rPr>
                      <w:t>应收账款</w:t>
                    </w:r>
                  </w:p>
                  <w:p>
                    <w:pPr>
                      <w:pStyle w:val="76"/>
                      <w:jc w:val="center"/>
                      <w:rPr>
                        <w:szCs w:val="21"/>
                      </w:rPr>
                    </w:pPr>
                    <w:r>
                      <w:rPr>
                        <w:rFonts w:hint="eastAsia"/>
                        <w:szCs w:val="21"/>
                      </w:rPr>
                      <w:t>（按单位）</w:t>
                    </w:r>
                  </w:p>
                </w:tc>
              </w:sdtContent>
            </w:sdt>
            <w:sdt>
              <w:sdtPr>
                <w:tag w:val="_PLD_d80b317e50c4488782c31ac6b5614cc4"/>
                <w:id w:val="25154523"/>
                <w:lock w:val="sdtLocked"/>
              </w:sdtPr>
              <w:sdtContent>
                <w:tc>
                  <w:tcPr>
                    <w:tcW w:w="7121" w:type="dxa"/>
                    <w:gridSpan w:val="4"/>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期末余额</w:t>
                    </w:r>
                  </w:p>
                </w:tc>
              </w:sdtContent>
            </w:sdt>
          </w:tr>
          <w:tr>
            <w:tblPrEx>
              <w:tblLayout w:type="fixed"/>
            </w:tblPrEx>
            <w:tc>
              <w:tcPr>
                <w:tcW w:w="1928" w:type="dxa"/>
                <w:vMerge w:val="continue"/>
                <w:tcBorders>
                  <w:left w:val="single" w:color="auto" w:sz="4" w:space="0"/>
                  <w:bottom w:val="single" w:color="auto" w:sz="4" w:space="0"/>
                  <w:right w:val="single" w:color="auto" w:sz="4" w:space="0"/>
                </w:tcBorders>
                <w:vAlign w:val="center"/>
              </w:tcPr>
              <w:p>
                <w:pPr>
                  <w:pStyle w:val="76"/>
                  <w:jc w:val="center"/>
                  <w:rPr>
                    <w:szCs w:val="21"/>
                  </w:rPr>
                </w:pPr>
              </w:p>
            </w:tc>
            <w:sdt>
              <w:sdtPr>
                <w:tag w:val="_PLD_4ed3ef6e76e54b52a73716aa4c79fa45"/>
                <w:id w:val="25154524"/>
                <w:lock w:val="sdtLocked"/>
              </w:sdtPr>
              <w:sdtContent>
                <w:tc>
                  <w:tcPr>
                    <w:tcW w:w="1670"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应收账款</w:t>
                    </w:r>
                  </w:p>
                </w:tc>
              </w:sdtContent>
            </w:sdt>
            <w:sdt>
              <w:sdtPr>
                <w:tag w:val="_PLD_40a7892df0f24afa941a9f9731f158b5"/>
                <w:id w:val="25154525"/>
                <w:lock w:val="sdtLocked"/>
              </w:sdtPr>
              <w:sdtContent>
                <w:tc>
                  <w:tcPr>
                    <w:tcW w:w="1857"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坏账准备</w:t>
                    </w:r>
                  </w:p>
                </w:tc>
              </w:sdtContent>
            </w:sdt>
            <w:sdt>
              <w:sdtPr>
                <w:tag w:val="_PLD_f4b44855e6a24833a8879fe98002d8da"/>
                <w:id w:val="25154526"/>
                <w:lock w:val="sdtLocked"/>
              </w:sdtPr>
              <w:sdtContent>
                <w:tc>
                  <w:tcPr>
                    <w:tcW w:w="1710"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计提比例</w:t>
                    </w:r>
                  </w:p>
                </w:tc>
              </w:sdtContent>
            </w:sdt>
            <w:sdt>
              <w:sdtPr>
                <w:tag w:val="_PLD_7b986d59ac9e4ce8bb1b31afd5851a73"/>
                <w:id w:val="25154527"/>
                <w:lock w:val="sdtLocked"/>
              </w:sdtPr>
              <w:sdtContent>
                <w:tc>
                  <w:tcPr>
                    <w:tcW w:w="1884"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计提理由</w:t>
                    </w:r>
                  </w:p>
                </w:tc>
              </w:sdtContent>
            </w:sdt>
          </w:tr>
          <w:sdt>
            <w:sdtPr>
              <w:rPr>
                <w:szCs w:val="21"/>
              </w:rPr>
              <w:alias w:val="单项金额重大并单项计提坏帐准备的应收账款明细"/>
              <w:tag w:val="_GBC_c9586d96f3074bce99d343d375453bb8"/>
              <w:id w:val="25154528"/>
              <w:lock w:val="sdtLocked"/>
            </w:sdtPr>
            <w:sdtEndPr>
              <w:rPr>
                <w:szCs w:val="21"/>
              </w:rPr>
            </w:sdtEndPr>
            <w:sdtContent>
              <w:tr>
                <w:tblPrEx>
                  <w:tblLayout w:type="fixed"/>
                </w:tblPrEx>
                <w:tc>
                  <w:tcPr>
                    <w:tcW w:w="1928" w:type="dxa"/>
                    <w:tcBorders>
                      <w:top w:val="single" w:color="auto" w:sz="4" w:space="0"/>
                      <w:left w:val="single" w:color="auto" w:sz="4" w:space="0"/>
                      <w:bottom w:val="single" w:color="auto" w:sz="4" w:space="0"/>
                      <w:right w:val="single" w:color="auto" w:sz="4" w:space="0"/>
                    </w:tcBorders>
                  </w:tcPr>
                  <w:p>
                    <w:pPr>
                      <w:pStyle w:val="76"/>
                      <w:rPr>
                        <w:szCs w:val="21"/>
                      </w:rPr>
                    </w:pPr>
                    <w:r>
                      <w:t>单位一</w:t>
                    </w:r>
                  </w:p>
                </w:tc>
                <w:tc>
                  <w:tcPr>
                    <w:tcW w:w="1670" w:type="dxa"/>
                    <w:tcBorders>
                      <w:top w:val="single" w:color="auto" w:sz="4" w:space="0"/>
                      <w:left w:val="single" w:color="auto" w:sz="4" w:space="0"/>
                      <w:bottom w:val="single" w:color="auto" w:sz="4" w:space="0"/>
                      <w:right w:val="single" w:color="auto" w:sz="4" w:space="0"/>
                    </w:tcBorders>
                  </w:tcPr>
                  <w:p>
                    <w:pPr>
                      <w:pStyle w:val="76"/>
                      <w:jc w:val="right"/>
                      <w:rPr>
                        <w:szCs w:val="21"/>
                      </w:rPr>
                    </w:pPr>
                    <w:r>
                      <w:t>17,000,000.00</w:t>
                    </w:r>
                  </w:p>
                </w:tc>
                <w:tc>
                  <w:tcPr>
                    <w:tcW w:w="1857" w:type="dxa"/>
                    <w:tcBorders>
                      <w:top w:val="single" w:color="auto" w:sz="4" w:space="0"/>
                      <w:left w:val="single" w:color="auto" w:sz="4" w:space="0"/>
                      <w:bottom w:val="single" w:color="auto" w:sz="4" w:space="0"/>
                      <w:right w:val="single" w:color="auto" w:sz="4" w:space="0"/>
                    </w:tcBorders>
                  </w:tcPr>
                  <w:p>
                    <w:pPr>
                      <w:pStyle w:val="76"/>
                      <w:jc w:val="right"/>
                      <w:rPr>
                        <w:szCs w:val="21"/>
                      </w:rPr>
                    </w:pPr>
                    <w:r>
                      <w:t>17,000,000.00</w:t>
                    </w:r>
                  </w:p>
                </w:tc>
                <w:tc>
                  <w:tcPr>
                    <w:tcW w:w="1710" w:type="dxa"/>
                    <w:tcBorders>
                      <w:top w:val="single" w:color="auto" w:sz="4" w:space="0"/>
                      <w:left w:val="single" w:color="auto" w:sz="4" w:space="0"/>
                      <w:bottom w:val="single" w:color="auto" w:sz="4" w:space="0"/>
                      <w:right w:val="single" w:color="auto" w:sz="4" w:space="0"/>
                    </w:tcBorders>
                  </w:tcPr>
                  <w:p>
                    <w:pPr>
                      <w:pStyle w:val="76"/>
                      <w:jc w:val="right"/>
                      <w:rPr>
                        <w:szCs w:val="21"/>
                      </w:rPr>
                    </w:pPr>
                    <w:r>
                      <w:t>100.00</w:t>
                    </w:r>
                  </w:p>
                </w:tc>
                <w:tc>
                  <w:tcPr>
                    <w:tcW w:w="1884" w:type="dxa"/>
                    <w:tcBorders>
                      <w:top w:val="single" w:color="auto" w:sz="4" w:space="0"/>
                      <w:left w:val="single" w:color="auto" w:sz="4" w:space="0"/>
                      <w:bottom w:val="single" w:color="auto" w:sz="4" w:space="0"/>
                      <w:right w:val="single" w:color="auto" w:sz="4" w:space="0"/>
                    </w:tcBorders>
                  </w:tcPr>
                  <w:p>
                    <w:pPr>
                      <w:pStyle w:val="76"/>
                      <w:rPr>
                        <w:szCs w:val="21"/>
                      </w:rPr>
                    </w:pPr>
                    <w:r>
                      <w:t>发生坏账风险大</w:t>
                    </w:r>
                  </w:p>
                </w:tc>
              </w:tr>
            </w:sdtContent>
          </w:sdt>
          <w:tr>
            <w:tblPrEx>
              <w:tblLayout w:type="fixed"/>
              <w:tblCellMar>
                <w:top w:w="0" w:type="dxa"/>
                <w:left w:w="108" w:type="dxa"/>
                <w:bottom w:w="0" w:type="dxa"/>
                <w:right w:w="108" w:type="dxa"/>
              </w:tblCellMar>
            </w:tblPrEx>
            <w:sdt>
              <w:sdtPr>
                <w:tag w:val="_PLD_32d0f83c834448dcb063f332ca1a96e2"/>
                <w:id w:val="25154529"/>
                <w:lock w:val="sdtLocked"/>
              </w:sdtPr>
              <w:sdtContent>
                <w:tc>
                  <w:tcPr>
                    <w:tcW w:w="1928"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合计</w:t>
                    </w:r>
                  </w:p>
                </w:tc>
              </w:sdtContent>
            </w:sdt>
            <w:tc>
              <w:tcPr>
                <w:tcW w:w="1670" w:type="dxa"/>
                <w:tcBorders>
                  <w:top w:val="single" w:color="auto" w:sz="4" w:space="0"/>
                  <w:left w:val="single" w:color="auto" w:sz="4" w:space="0"/>
                  <w:bottom w:val="single" w:color="auto" w:sz="4" w:space="0"/>
                  <w:right w:val="single" w:color="auto" w:sz="4" w:space="0"/>
                </w:tcBorders>
              </w:tcPr>
              <w:p>
                <w:pPr>
                  <w:pStyle w:val="76"/>
                  <w:jc w:val="right"/>
                  <w:rPr>
                    <w:szCs w:val="21"/>
                  </w:rPr>
                </w:pPr>
                <w:r>
                  <w:t>17,000,000.00</w:t>
                </w:r>
              </w:p>
            </w:tc>
            <w:tc>
              <w:tcPr>
                <w:tcW w:w="1857" w:type="dxa"/>
                <w:tcBorders>
                  <w:top w:val="single" w:color="auto" w:sz="4" w:space="0"/>
                  <w:left w:val="single" w:color="auto" w:sz="4" w:space="0"/>
                  <w:bottom w:val="single" w:color="auto" w:sz="4" w:space="0"/>
                  <w:right w:val="single" w:color="auto" w:sz="4" w:space="0"/>
                </w:tcBorders>
              </w:tcPr>
              <w:p>
                <w:pPr>
                  <w:pStyle w:val="76"/>
                  <w:jc w:val="right"/>
                  <w:rPr>
                    <w:szCs w:val="21"/>
                  </w:rPr>
                </w:pPr>
                <w:r>
                  <w:t>17,000,000.00</w:t>
                </w:r>
              </w:p>
            </w:tc>
            <w:tc>
              <w:tcPr>
                <w:tcW w:w="1710" w:type="dxa"/>
                <w:tcBorders>
                  <w:top w:val="single" w:color="auto" w:sz="4" w:space="0"/>
                  <w:left w:val="single" w:color="auto" w:sz="4" w:space="0"/>
                  <w:bottom w:val="single" w:color="auto" w:sz="4" w:space="0"/>
                  <w:right w:val="single" w:color="auto" w:sz="4" w:space="0"/>
                </w:tcBorders>
              </w:tcPr>
              <w:p>
                <w:pPr>
                  <w:pStyle w:val="76"/>
                  <w:jc w:val="center"/>
                  <w:rPr>
                    <w:szCs w:val="21"/>
                  </w:rPr>
                </w:pPr>
                <w:r>
                  <w:rPr>
                    <w:rFonts w:hint="eastAsia"/>
                    <w:szCs w:val="21"/>
                  </w:rPr>
                  <w:t>/</w:t>
                </w:r>
              </w:p>
            </w:tc>
            <w:tc>
              <w:tcPr>
                <w:tcW w:w="1884" w:type="dxa"/>
                <w:tcBorders>
                  <w:top w:val="single" w:color="auto" w:sz="4" w:space="0"/>
                  <w:left w:val="single" w:color="auto" w:sz="4" w:space="0"/>
                  <w:bottom w:val="single" w:color="auto" w:sz="4" w:space="0"/>
                  <w:right w:val="single" w:color="auto" w:sz="4" w:space="0"/>
                </w:tcBorders>
              </w:tcPr>
              <w:p>
                <w:pPr>
                  <w:pStyle w:val="76"/>
                  <w:jc w:val="center"/>
                  <w:rPr>
                    <w:szCs w:val="21"/>
                  </w:rPr>
                </w:pPr>
                <w:r>
                  <w:rPr>
                    <w:rFonts w:hint="eastAsia"/>
                    <w:szCs w:val="21"/>
                  </w:rPr>
                  <w:t>/</w:t>
                </w:r>
              </w:p>
            </w:tc>
          </w:tr>
        </w:tbl>
        <w:p>
          <w:pPr>
            <w:pStyle w:val="76"/>
          </w:pPr>
        </w:p>
        <w:p>
          <w:pPr>
            <w:pStyle w:val="76"/>
            <w:rPr>
              <w:szCs w:val="21"/>
            </w:rPr>
          </w:pPr>
        </w:p>
      </w:sdtContent>
    </w:sdt>
    <w:p>
      <w:pPr>
        <w:pStyle w:val="76"/>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2515453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25154549"/>
        <w:lock w:val="sdtLocked"/>
        <w:placeholder>
          <w:docPart w:val="GBC22222222222222222222222222222"/>
        </w:placeholder>
      </w:sdtPr>
      <w:sdtEndPr>
        <w:rPr>
          <w:rFonts w:hint="default"/>
          <w:szCs w:val="21"/>
        </w:rPr>
      </w:sdtEndPr>
      <w:sdtContent>
        <w:p>
          <w:pPr>
            <w:pStyle w:val="76"/>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251545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25154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050"/>
            <w:gridCol w:w="2282"/>
            <w:gridCol w:w="231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d7832ba836343138c755041d164991a"/>
                <w:id w:val="25154534"/>
                <w:lock w:val="sdtLocked"/>
              </w:sdtPr>
              <w:sdtContent>
                <w:tc>
                  <w:tcPr>
                    <w:tcW w:w="2050"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账龄</w:t>
                    </w:r>
                  </w:p>
                </w:tc>
              </w:sdtContent>
            </w:sdt>
            <w:sdt>
              <w:sdtPr>
                <w:tag w:val="_PLD_db57b9fdb8f54a919be5cd6a9384cf36"/>
                <w:id w:val="25154535"/>
                <w:lock w:val="sdtLocked"/>
              </w:sdtPr>
              <w:sdtContent>
                <w:tc>
                  <w:tcPr>
                    <w:tcW w:w="6845" w:type="dxa"/>
                    <w:gridSpan w:val="3"/>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pStyle w:val="76"/>
                  <w:rPr>
                    <w:szCs w:val="21"/>
                  </w:rPr>
                </w:pPr>
              </w:p>
            </w:tc>
            <w:sdt>
              <w:sdtPr>
                <w:tag w:val="_PLD_3021db31c3924e73b16a96238b80c72d"/>
                <w:id w:val="25154536"/>
                <w:lock w:val="sdtLocked"/>
              </w:sdtPr>
              <w:sdtContent>
                <w:tc>
                  <w:tcPr>
                    <w:tcW w:w="2282"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应收账款</w:t>
                    </w:r>
                  </w:p>
                </w:tc>
              </w:sdtContent>
            </w:sdt>
            <w:sdt>
              <w:sdtPr>
                <w:tag w:val="_PLD_79469ea49b0043cd800a7a5164bdc483"/>
                <w:id w:val="25154537"/>
                <w:lock w:val="sdtLocked"/>
              </w:sdtPr>
              <w:sdtContent>
                <w:tc>
                  <w:tcPr>
                    <w:tcW w:w="2316"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坏账准备</w:t>
                    </w:r>
                  </w:p>
                </w:tc>
              </w:sdtContent>
            </w:sdt>
            <w:sdt>
              <w:sdtPr>
                <w:tag w:val="_PLD_e2c4ca41d46c42a1b0e7c2450d591edf"/>
                <w:id w:val="25154538"/>
                <w:lock w:val="sdtLocked"/>
              </w:sdtPr>
              <w:sdtContent>
                <w:tc>
                  <w:tcPr>
                    <w:tcW w:w="2247"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c2c724dfc7e54cfea15c356cae0b5a63"/>
                <w:id w:val="25154539"/>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1年以内</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color w:val="FF0000"/>
                    <w:szCs w:val="21"/>
                  </w:rPr>
                </w:pPr>
                <w:r>
                  <w:t>289,260,783.60</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color w:val="FF0000"/>
                    <w:szCs w:val="21"/>
                  </w:rPr>
                </w:pPr>
                <w:r>
                  <w:t>7,513,745.99</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color w:val="FF0000"/>
                    <w:szCs w:val="21"/>
                  </w:rPr>
                </w:pPr>
                <w: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cc7c20e0c7946b59877bcd3064963de"/>
                <w:id w:val="25154540"/>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其中：1年以内分项</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289,260,783.60</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7,513,745.99</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eca06a0ee3f4536830e200598a47879"/>
                <w:id w:val="25154541"/>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1年以内小计</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289,260,783.60</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7,513,745.99</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0d0157d944c47a1b1fb3a99692e8582"/>
                <w:id w:val="25154542"/>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1至2年</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5,704,251.58</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606,170.8</w:t>
                </w:r>
                <w:r>
                  <w:rPr>
                    <w:rFonts w:hint="eastAsia"/>
                  </w:rPr>
                  <w:t>5</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b07441133a94c7eb843b5ac2eaefdee"/>
                <w:id w:val="25154543"/>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2至3年</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23,280.00</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6,984.00</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ac5fbf146d34dfe97408219d2c4af15"/>
                <w:id w:val="25154544"/>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3至4年</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0.00</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0.00</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cb676904c1574387a1ddf34686f0cec3"/>
                <w:id w:val="25154545"/>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4至5年</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13,712,653.39</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8,063,187.24</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189516815cd84f4a9defd6a210e68da6"/>
                <w:id w:val="25154546"/>
                <w:lock w:val="sdtLocked"/>
              </w:sdtPr>
              <w:sdtContent>
                <w:tc>
                  <w:tcPr>
                    <w:tcW w:w="205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5年以上</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1,415,244.55</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1,415,244.55</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d68591d9fb89489a93edf333f48cc762"/>
                <w:id w:val="25154547"/>
                <w:lock w:val="sdtLocked"/>
              </w:sdtPr>
              <w:sdtContent>
                <w:tc>
                  <w:tcPr>
                    <w:tcW w:w="2050"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合计</w:t>
                    </w:r>
                  </w:p>
                </w:tc>
              </w:sdtContent>
            </w:sdt>
            <w:tc>
              <w:tcPr>
                <w:tcW w:w="2282" w:type="dxa"/>
                <w:tcBorders>
                  <w:top w:val="single" w:color="auto" w:sz="4" w:space="0"/>
                  <w:left w:val="single" w:color="auto" w:sz="4" w:space="0"/>
                  <w:bottom w:val="single" w:color="auto" w:sz="4" w:space="0"/>
                  <w:right w:val="single" w:color="auto" w:sz="4" w:space="0"/>
                </w:tcBorders>
              </w:tcPr>
              <w:p>
                <w:pPr>
                  <w:pStyle w:val="76"/>
                  <w:jc w:val="right"/>
                  <w:rPr>
                    <w:szCs w:val="21"/>
                  </w:rPr>
                </w:pPr>
                <w:r>
                  <w:t>310,116,213.12</w:t>
                </w:r>
              </w:p>
            </w:tc>
            <w:tc>
              <w:tcPr>
                <w:tcW w:w="2316" w:type="dxa"/>
                <w:tcBorders>
                  <w:top w:val="single" w:color="auto" w:sz="4" w:space="0"/>
                  <w:left w:val="single" w:color="auto" w:sz="4" w:space="0"/>
                  <w:bottom w:val="single" w:color="auto" w:sz="4" w:space="0"/>
                  <w:right w:val="single" w:color="auto" w:sz="4" w:space="0"/>
                </w:tcBorders>
              </w:tcPr>
              <w:p>
                <w:pPr>
                  <w:pStyle w:val="76"/>
                  <w:jc w:val="right"/>
                  <w:rPr>
                    <w:szCs w:val="21"/>
                  </w:rPr>
                </w:pPr>
                <w:r>
                  <w:t>17,605,332.63</w:t>
                </w:r>
              </w:p>
            </w:tc>
            <w:tc>
              <w:tcPr>
                <w:tcW w:w="2247" w:type="dxa"/>
                <w:tcBorders>
                  <w:top w:val="single" w:color="auto" w:sz="4" w:space="0"/>
                  <w:left w:val="single" w:color="auto" w:sz="4" w:space="0"/>
                  <w:bottom w:val="single" w:color="auto" w:sz="4" w:space="0"/>
                  <w:right w:val="single" w:color="auto" w:sz="4" w:space="0"/>
                </w:tcBorders>
              </w:tcPr>
              <w:p>
                <w:pPr>
                  <w:pStyle w:val="76"/>
                  <w:jc w:val="right"/>
                  <w:rPr>
                    <w:szCs w:val="21"/>
                  </w:rPr>
                </w:pPr>
                <w:r>
                  <w:t>5.68</w:t>
                </w:r>
              </w:p>
            </w:tc>
          </w:tr>
        </w:tbl>
        <w:p>
          <w:pPr>
            <w:pStyle w:val="76"/>
          </w:pPr>
        </w:p>
        <w:p>
          <w:pPr>
            <w:pStyle w:val="76"/>
          </w:pPr>
          <w:r>
            <w:rPr>
              <w:rFonts w:hint="eastAsia"/>
            </w:rPr>
            <w:t>确定该组合依据的</w:t>
          </w:r>
          <w:r>
            <w:t>说明：</w:t>
          </w:r>
        </w:p>
        <w:sdt>
          <w:sdtPr>
            <w:rPr>
              <w:szCs w:val="21"/>
            </w:rPr>
            <w:alias w:val="按账龄分析法计提坏账准备的应收账款-确定该组合依据的说明"/>
            <w:tag w:val="_GBC_6bb94a2cc4b341b0aab8b34614082e87"/>
            <w:id w:val="25154548"/>
            <w:lock w:val="sdtLocked"/>
            <w:placeholder>
              <w:docPart w:val="GBC22222222222222222222222222222"/>
            </w:placeholder>
          </w:sdtPr>
          <w:sdtEndPr>
            <w:rPr>
              <w:szCs w:val="21"/>
            </w:rPr>
          </w:sdtEndPr>
          <w:sdtContent>
            <w:p>
              <w:pPr>
                <w:pStyle w:val="76"/>
                <w:snapToGrid w:val="0"/>
                <w:spacing w:line="240" w:lineRule="atLeast"/>
                <w:rPr>
                  <w:szCs w:val="21"/>
                </w:rPr>
              </w:pPr>
              <w:r>
                <w:rPr>
                  <w:rFonts w:hint="eastAsia"/>
                  <w:szCs w:val="21"/>
                </w:rPr>
                <w:t>采用账龄分析法计提坏账准备主要是基于相同账龄具有相类似信用风险假设。</w:t>
              </w:r>
            </w:p>
          </w:sdtContent>
        </w:sdt>
        <w:p>
          <w:pPr>
            <w:pStyle w:val="76"/>
            <w:ind w:right="-1594" w:rightChars="-759"/>
            <w:rPr>
              <w:szCs w:val="21"/>
            </w:rPr>
          </w:pPr>
        </w:p>
      </w:sdtContent>
    </w:sdt>
    <w:sdt>
      <w:sdtPr>
        <w:rPr>
          <w:rFonts w:hint="eastAsia"/>
          <w:szCs w:val="21"/>
        </w:rPr>
        <w:alias w:val="模块:组合中，采用余额百分比法计提坏账准备的应收账款"/>
        <w:tag w:val="_GBC_80af5d7329504184ae610534d83f459a"/>
        <w:id w:val="25154551"/>
        <w:lock w:val="sdtLocked"/>
        <w:placeholder>
          <w:docPart w:val="GBC22222222222222222222222222222"/>
        </w:placeholder>
      </w:sdtPr>
      <w:sdtEndPr>
        <w:rPr>
          <w:rFonts w:hint="eastAsia"/>
          <w:szCs w:val="21"/>
        </w:rPr>
      </w:sdtEndPr>
      <w:sdtContent>
        <w:p>
          <w:pPr>
            <w:pStyle w:val="76"/>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f89d4f9282f9427ebb2f09e6f945369b"/>
            <w:id w:val="25154550"/>
            <w:lock w:val="sdtContentLocked"/>
            <w:placeholder>
              <w:docPart w:val="GBC22222222222222222222222222222"/>
            </w:placeholder>
          </w:sdtPr>
          <w:sdtEndPr>
            <w:rPr>
              <w:rFonts w:hint="eastAsia"/>
              <w:szCs w:val="21"/>
            </w:rPr>
          </w:sdtEndPr>
          <w:sdtContent>
            <w:p>
              <w:pPr>
                <w:pStyle w:val="76"/>
                <w:tabs>
                  <w:tab w:val="left" w:pos="8280"/>
                </w:tabs>
                <w:ind w:right="25" w:rightChars="12"/>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p>
          <w:pPr>
            <w:pStyle w:val="76"/>
            <w:rPr>
              <w:szCs w:val="21"/>
            </w:rPr>
          </w:pPr>
        </w:p>
      </w:sdtContent>
    </w:sdt>
    <w:sdt>
      <w:sdtPr>
        <w:rPr>
          <w:rFonts w:hint="eastAsia"/>
        </w:rPr>
        <w:alias w:val="模块:组合中，采用其他方法计提坏账准备的应收账款："/>
        <w:tag w:val="_GBC_0172a0777c544492a6f2d09515188c47"/>
        <w:id w:val="25154553"/>
        <w:lock w:val="sdtLocked"/>
        <w:placeholder>
          <w:docPart w:val="GBC22222222222222222222222222222"/>
        </w:placeholder>
      </w:sdtPr>
      <w:sdtEndPr>
        <w:rPr>
          <w:rFonts w:hint="eastAsia"/>
          <w:szCs w:val="21"/>
        </w:rPr>
      </w:sdtEndPr>
      <w:sdtContent>
        <w:p>
          <w:pPr>
            <w:pStyle w:val="76"/>
          </w:pPr>
          <w:r>
            <w:rPr>
              <w:rFonts w:hint="eastAsia"/>
            </w:rPr>
            <w:t>组合中，采用其他方法计提坏账准备的应收账款：</w:t>
          </w:r>
        </w:p>
        <w:sdt>
          <w:sdtPr>
            <w:alias w:val="是否适用：组合中采用其他方法计提坏账准备的应收账款[双击切换]"/>
            <w:tag w:val="_GBC_b295f04719aa49b6a49bfb34913ab5e2"/>
            <w:id w:val="2515455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sdt>
      <w:sdtPr>
        <w:rPr>
          <w:rFonts w:hint="eastAsia" w:ascii="宋体" w:hAnsi="宋体" w:cs="宋体"/>
          <w:b w:val="0"/>
          <w:bCs w:val="0"/>
          <w:kern w:val="0"/>
          <w:szCs w:val="21"/>
        </w:rPr>
        <w:alias w:val="模块:本期计提、收回或转回的坏账准备情况："/>
        <w:tag w:val="_GBC_6250eabbcaff4209a03d0b9c69f430bf"/>
        <w:id w:val="25154556"/>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3"/>
              <w:numId w:val="48"/>
            </w:numPr>
            <w:tabs>
              <w:tab w:val="left" w:pos="574"/>
            </w:tabs>
            <w:rPr>
              <w:szCs w:val="21"/>
            </w:rPr>
          </w:pPr>
          <w:r>
            <w:rPr>
              <w:rFonts w:hint="eastAsia"/>
              <w:szCs w:val="21"/>
            </w:rPr>
            <w:t>本期计提、收回或转回的坏账准备情况：</w:t>
          </w:r>
        </w:p>
        <w:p>
          <w:pPr>
            <w:pStyle w:val="76"/>
            <w:rPr>
              <w:szCs w:val="21"/>
            </w:rPr>
          </w:pPr>
          <w:r>
            <w:rPr>
              <w:rFonts w:hint="eastAsia"/>
              <w:szCs w:val="21"/>
            </w:rPr>
            <w:t>本期计提坏账准备金额</w:t>
          </w:r>
          <w:sdt>
            <w:sdtPr>
              <w:rPr>
                <w:rFonts w:hint="eastAsia"/>
                <w:szCs w:val="21"/>
              </w:rPr>
              <w:alias w:val="应收账款计提坏账准备金额"/>
              <w:tag w:val="_GBC_ba6aa47706954f9b871331a1d6e00c80"/>
              <w:id w:val="25154554"/>
              <w:lock w:val="sdtLocked"/>
              <w:placeholder>
                <w:docPart w:val="GBC22222222222222222222222222222"/>
              </w:placeholder>
            </w:sdtPr>
            <w:sdtEndPr>
              <w:rPr>
                <w:rFonts w:hint="eastAsia"/>
                <w:szCs w:val="21"/>
              </w:rPr>
            </w:sdtEndPr>
            <w:sdtContent>
              <w:r>
                <w:rPr>
                  <w:rFonts w:hint="eastAsia"/>
                  <w:szCs w:val="21"/>
                </w:rPr>
                <w:t>0</w:t>
              </w:r>
            </w:sdtContent>
          </w:sdt>
          <w:r>
            <w:rPr>
              <w:szCs w:val="21"/>
            </w:rPr>
            <w:t>元；本期收回或转回坏账准备金额</w:t>
          </w:r>
          <w:sdt>
            <w:sdtPr>
              <w:rPr>
                <w:szCs w:val="21"/>
              </w:rPr>
              <w:alias w:val="应收账款收回或转回坏账准备金额"/>
              <w:tag w:val="_GBC_bd4ef789aafa427b8426f75e2e22d499"/>
              <w:id w:val="25154555"/>
              <w:lock w:val="sdtLocked"/>
              <w:placeholder>
                <w:docPart w:val="GBC22222222222222222222222222222"/>
              </w:placeholder>
            </w:sdtPr>
            <w:sdtEndPr>
              <w:rPr>
                <w:szCs w:val="21"/>
              </w:rPr>
            </w:sdtEndPr>
            <w:sdtContent>
              <w:r>
                <w:rPr>
                  <w:rFonts w:hint="eastAsia"/>
                  <w:szCs w:val="21"/>
                </w:rPr>
                <w:t>0</w:t>
              </w:r>
            </w:sdtContent>
          </w:sdt>
          <w:r>
            <w:rPr>
              <w:szCs w:val="21"/>
            </w:rPr>
            <w:t>元。</w:t>
          </w:r>
        </w:p>
      </w:sdtContent>
    </w:sdt>
    <w:p>
      <w:pPr>
        <w:pStyle w:val="76"/>
        <w:rPr>
          <w:szCs w:val="21"/>
        </w:rPr>
      </w:pPr>
    </w:p>
    <w:sdt>
      <w:sdtPr>
        <w:rPr>
          <w:rFonts w:asciiTheme="minorHAnsi" w:hAnsiTheme="minorHAnsi"/>
          <w:b/>
          <w:bCs/>
          <w:szCs w:val="22"/>
        </w:rPr>
        <w:alias w:val="模块:本期坏账准备收回或转回金额重要的"/>
        <w:tag w:val="_GBC_c5304cbf92324b63bc3b9ae1fa700568"/>
        <w:id w:val="25154558"/>
        <w:lock w:val="sdtLocked"/>
        <w:placeholder>
          <w:docPart w:val="GBC22222222222222222222222222222"/>
        </w:placeholder>
      </w:sdtPr>
      <w:sdtEndPr>
        <w:rPr>
          <w:rFonts w:ascii="Times New Roman" w:hAnsi="Times New Roman" w:cs="Times New Roman"/>
          <w:b w:val="0"/>
          <w:bCs w:val="0"/>
          <w:kern w:val="2"/>
          <w:szCs w:val="24"/>
        </w:rPr>
      </w:sdtEndPr>
      <w:sdtContent>
        <w:p>
          <w:pPr>
            <w:pStyle w:val="76"/>
          </w:pPr>
          <w:r>
            <w:rPr>
              <w:rFonts w:hint="eastAsia"/>
            </w:rPr>
            <w:t>其中本期坏账准备收回或转回金额重要的：</w:t>
          </w:r>
        </w:p>
        <w:sdt>
          <w:sdtPr>
            <w:alias w:val="是否适用：其中本期坏账准备收回或转回金额重要的[双击切换]"/>
            <w:tag w:val="_GBC_362288b01950422da8198293b517eeb5"/>
            <w:id w:val="2515455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ind w:right="-1594" w:rightChars="-759"/>
          </w:pPr>
        </w:p>
      </w:sdtContent>
    </w:sdt>
    <w:p>
      <w:pPr>
        <w:pStyle w:val="76"/>
      </w:pPr>
    </w:p>
    <w:sdt>
      <w:sdtPr>
        <w:rPr>
          <w:rFonts w:hint="eastAsia" w:ascii="Times New Roman" w:hAnsi="Times New Roman" w:cs="宋体"/>
          <w:b w:val="0"/>
          <w:bCs w:val="0"/>
          <w:kern w:val="0"/>
          <w:szCs w:val="24"/>
        </w:rPr>
        <w:alias w:val="模块:本报告期实际核销的应收账款情况"/>
        <w:tag w:val="_GBC_af8ceb97930d4d7391d4823a068c824b"/>
        <w:id w:val="25154560"/>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3"/>
              <w:numId w:val="48"/>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2515455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Times New Roman" w:hAnsi="Times New Roman" w:cs="宋体"/>
          <w:b w:val="0"/>
          <w:bCs w:val="0"/>
          <w:kern w:val="0"/>
          <w:szCs w:val="24"/>
        </w:rPr>
        <w:alias w:val="模块:按欠款方归集的期末余额前五名的应收账款情况："/>
        <w:tag w:val="_GBC_e8adf46f2d204834ad681ac980eff4f7"/>
        <w:id w:val="2515456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48"/>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25154561"/>
            <w:lock w:val="sdtContentLocked"/>
            <w:placeholder>
              <w:docPart w:val="GBC22222222222222222222222222222"/>
            </w:placeholder>
          </w:sdtPr>
          <w:sdtEndPr>
            <w:rPr>
              <w:rFonts w:hint="eastAsia"/>
              <w:szCs w:val="21"/>
            </w:rPr>
          </w:sdtEndPr>
          <w:sdtContent>
            <w:p>
              <w:pPr>
                <w:pStyle w:val="76"/>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36"/>
            <w:tblW w:w="8843" w:type="dxa"/>
            <w:tblInd w:w="-2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031"/>
            <w:gridCol w:w="709"/>
            <w:gridCol w:w="1417"/>
            <w:gridCol w:w="890"/>
            <w:gridCol w:w="1349"/>
            <w:gridCol w:w="14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单位名称</w:t>
                </w:r>
              </w:p>
            </w:tc>
            <w:tc>
              <w:tcPr>
                <w:tcW w:w="709"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款项的性质</w:t>
                </w:r>
              </w:p>
            </w:tc>
            <w:tc>
              <w:tcPr>
                <w:tcW w:w="1417"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期末余额</w:t>
                </w:r>
              </w:p>
            </w:tc>
            <w:tc>
              <w:tcPr>
                <w:tcW w:w="890"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账龄</w:t>
                </w:r>
              </w:p>
            </w:tc>
            <w:tc>
              <w:tcPr>
                <w:tcW w:w="1349"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占应收账款期末余额合计数的比例</w:t>
                </w:r>
                <w:r>
                  <w:rPr>
                    <w:rFonts w:ascii="Arial Narrow" w:hAnsi="Arial Narrow" w:cs="Arial Narrow"/>
                  </w:rPr>
                  <w:t>(%)</w:t>
                </w:r>
              </w:p>
            </w:tc>
            <w:tc>
              <w:tcPr>
                <w:tcW w:w="1447"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坏账准备期末余额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rPr>
                </w:pPr>
                <w:r>
                  <w:rPr>
                    <w:rFonts w:hint="eastAsia" w:ascii="Arial Narrow" w:hAnsi="Arial Narrow"/>
                  </w:rPr>
                  <w:t>单位一</w:t>
                </w:r>
              </w:p>
            </w:tc>
            <w:tc>
              <w:tcPr>
                <w:tcW w:w="709" w:type="dxa"/>
                <w:vAlign w:val="center"/>
              </w:tcPr>
              <w:p>
                <w:pPr>
                  <w:jc w:val="center"/>
                  <w:rPr>
                    <w:rFonts w:ascii="Arial Narrow" w:hAnsi="Arial Narrow"/>
                  </w:rPr>
                </w:pPr>
                <w:r>
                  <w:rPr>
                    <w:rFonts w:ascii="Arial Narrow" w:hAnsi="Arial Narrow"/>
                  </w:rPr>
                  <w:t>货款</w:t>
                </w:r>
              </w:p>
            </w:tc>
            <w:tc>
              <w:tcPr>
                <w:tcW w:w="1417" w:type="dxa"/>
                <w:vAlign w:val="center"/>
              </w:tcPr>
              <w:p>
                <w:pPr>
                  <w:jc w:val="right"/>
                  <w:rPr>
                    <w:rFonts w:ascii="Arial Narrow" w:hAnsi="Arial Narrow"/>
                  </w:rPr>
                </w:pPr>
                <w:r>
                  <w:rPr>
                    <w:rFonts w:ascii="Arial Narrow" w:hAnsi="Arial Narrow"/>
                  </w:rPr>
                  <w:t>78,333,278.96</w:t>
                </w:r>
              </w:p>
            </w:tc>
            <w:tc>
              <w:tcPr>
                <w:tcW w:w="890" w:type="dxa"/>
                <w:vAlign w:val="center"/>
              </w:tcPr>
              <w:p>
                <w:pPr>
                  <w:jc w:val="center"/>
                  <w:rPr>
                    <w:rFonts w:ascii="Arial Narrow" w:hAnsi="Arial Narrow"/>
                  </w:rPr>
                </w:pPr>
                <w:r>
                  <w:rPr>
                    <w:rFonts w:ascii="Arial Narrow" w:hAnsi="Arial Narrow"/>
                  </w:rPr>
                  <w:t>1年以内</w:t>
                </w:r>
              </w:p>
            </w:tc>
            <w:tc>
              <w:tcPr>
                <w:tcW w:w="1349" w:type="dxa"/>
                <w:vAlign w:val="center"/>
              </w:tcPr>
              <w:p>
                <w:pPr>
                  <w:jc w:val="right"/>
                  <w:rPr>
                    <w:rFonts w:ascii="Arial Narrow" w:hAnsi="Arial Narrow"/>
                  </w:rPr>
                </w:pPr>
                <w:r>
                  <w:rPr>
                    <w:rFonts w:hint="eastAsia" w:ascii="Arial Narrow" w:hAnsi="Arial Narrow"/>
                  </w:rPr>
                  <w:t>23.91</w:t>
                </w:r>
              </w:p>
            </w:tc>
            <w:tc>
              <w:tcPr>
                <w:tcW w:w="1447" w:type="dxa"/>
                <w:vAlign w:val="center"/>
              </w:tcPr>
              <w:p>
                <w:pPr>
                  <w:jc w:val="right"/>
                  <w:rPr>
                    <w:sz w:val="20"/>
                    <w:szCs w:val="20"/>
                  </w:rPr>
                </w:pPr>
                <w:r>
                  <w:rPr>
                    <w:rFonts w:hint="eastAsia"/>
                    <w:sz w:val="20"/>
                    <w:szCs w:val="20"/>
                  </w:rPr>
                  <w:t xml:space="preserve">2,349,998.37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rPr>
                </w:pPr>
                <w:r>
                  <w:rPr>
                    <w:rFonts w:hint="eastAsia" w:ascii="Arial Narrow" w:hAnsi="Arial Narrow"/>
                  </w:rPr>
                  <w:t>柳州市新游化工有限责任公司</w:t>
                </w:r>
              </w:p>
            </w:tc>
            <w:tc>
              <w:tcPr>
                <w:tcW w:w="709" w:type="dxa"/>
                <w:vAlign w:val="center"/>
              </w:tcPr>
              <w:p>
                <w:pPr>
                  <w:jc w:val="center"/>
                  <w:rPr>
                    <w:rFonts w:ascii="Arial Narrow" w:hAnsi="Arial Narrow"/>
                  </w:rPr>
                </w:pPr>
                <w:r>
                  <w:rPr>
                    <w:rFonts w:ascii="Arial Narrow" w:hAnsi="Arial Narrow"/>
                  </w:rPr>
                  <w:t>货款</w:t>
                </w:r>
              </w:p>
            </w:tc>
            <w:tc>
              <w:tcPr>
                <w:tcW w:w="1417" w:type="dxa"/>
                <w:vAlign w:val="center"/>
              </w:tcPr>
              <w:p>
                <w:pPr>
                  <w:jc w:val="right"/>
                  <w:rPr>
                    <w:rFonts w:ascii="Arial Narrow" w:hAnsi="Arial Narrow"/>
                  </w:rPr>
                </w:pPr>
                <w:r>
                  <w:rPr>
                    <w:rFonts w:ascii="Arial Narrow" w:hAnsi="Arial Narrow"/>
                  </w:rPr>
                  <w:t>51,709,244.06</w:t>
                </w:r>
              </w:p>
            </w:tc>
            <w:tc>
              <w:tcPr>
                <w:tcW w:w="890" w:type="dxa"/>
                <w:vAlign w:val="center"/>
              </w:tcPr>
              <w:p>
                <w:pPr>
                  <w:jc w:val="center"/>
                  <w:rPr>
                    <w:rFonts w:ascii="Arial Narrow" w:hAnsi="Arial Narrow"/>
                  </w:rPr>
                </w:pPr>
                <w:r>
                  <w:rPr>
                    <w:rFonts w:ascii="Arial Narrow" w:hAnsi="Arial Narrow"/>
                  </w:rPr>
                  <w:t>1年以内</w:t>
                </w:r>
              </w:p>
            </w:tc>
            <w:tc>
              <w:tcPr>
                <w:tcW w:w="1349" w:type="dxa"/>
                <w:vAlign w:val="center"/>
              </w:tcPr>
              <w:p>
                <w:pPr>
                  <w:jc w:val="right"/>
                  <w:rPr>
                    <w:rFonts w:ascii="Arial Narrow" w:hAnsi="Arial Narrow"/>
                  </w:rPr>
                </w:pPr>
                <w:r>
                  <w:rPr>
                    <w:rFonts w:hint="eastAsia" w:ascii="Arial Narrow" w:hAnsi="Arial Narrow"/>
                  </w:rPr>
                  <w:t>15.79</w:t>
                </w:r>
              </w:p>
            </w:tc>
            <w:tc>
              <w:tcPr>
                <w:tcW w:w="1447" w:type="dxa"/>
                <w:vAlign w:val="center"/>
              </w:tcPr>
              <w:p>
                <w:pPr>
                  <w:jc w:val="right"/>
                  <w:rPr>
                    <w:sz w:val="20"/>
                    <w:szCs w:val="20"/>
                  </w:rPr>
                </w:pPr>
                <w:r>
                  <w:rPr>
                    <w:rFonts w:hint="eastAsia"/>
                    <w:sz w:val="20"/>
                    <w:szCs w:val="20"/>
                  </w:rPr>
                  <w:t xml:space="preserve">1,551,277.32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rPr>
                </w:pPr>
                <w:r>
                  <w:rPr>
                    <w:rFonts w:hint="eastAsia" w:ascii="Arial Narrow" w:hAnsi="Arial Narrow"/>
                  </w:rPr>
                  <w:t>柳州市强实科技有限公司</w:t>
                </w:r>
              </w:p>
            </w:tc>
            <w:tc>
              <w:tcPr>
                <w:tcW w:w="709" w:type="dxa"/>
                <w:vAlign w:val="center"/>
              </w:tcPr>
              <w:p>
                <w:pPr>
                  <w:jc w:val="center"/>
                  <w:rPr>
                    <w:rFonts w:ascii="Arial Narrow" w:hAnsi="Arial Narrow"/>
                  </w:rPr>
                </w:pPr>
                <w:r>
                  <w:rPr>
                    <w:rFonts w:ascii="Arial Narrow" w:hAnsi="Arial Narrow"/>
                  </w:rPr>
                  <w:t>货款</w:t>
                </w:r>
              </w:p>
            </w:tc>
            <w:tc>
              <w:tcPr>
                <w:tcW w:w="1417" w:type="dxa"/>
                <w:vAlign w:val="center"/>
              </w:tcPr>
              <w:p>
                <w:pPr>
                  <w:jc w:val="right"/>
                  <w:rPr>
                    <w:rFonts w:ascii="Arial Narrow" w:hAnsi="Arial Narrow"/>
                  </w:rPr>
                </w:pPr>
                <w:r>
                  <w:rPr>
                    <w:rFonts w:ascii="Arial Narrow" w:hAnsi="Arial Narrow"/>
                  </w:rPr>
                  <w:t>36,406,061.69</w:t>
                </w:r>
              </w:p>
            </w:tc>
            <w:tc>
              <w:tcPr>
                <w:tcW w:w="890" w:type="dxa"/>
                <w:vAlign w:val="center"/>
              </w:tcPr>
              <w:p>
                <w:pPr>
                  <w:jc w:val="center"/>
                  <w:rPr>
                    <w:rFonts w:ascii="Arial Narrow" w:hAnsi="Arial Narrow"/>
                  </w:rPr>
                </w:pPr>
                <w:r>
                  <w:rPr>
                    <w:rFonts w:ascii="Arial Narrow" w:hAnsi="Arial Narrow"/>
                  </w:rPr>
                  <w:t>1年以内</w:t>
                </w:r>
              </w:p>
            </w:tc>
            <w:tc>
              <w:tcPr>
                <w:tcW w:w="1349" w:type="dxa"/>
                <w:vAlign w:val="center"/>
              </w:tcPr>
              <w:p>
                <w:pPr>
                  <w:jc w:val="right"/>
                  <w:rPr>
                    <w:rFonts w:ascii="Arial Narrow" w:hAnsi="Arial Narrow"/>
                  </w:rPr>
                </w:pPr>
                <w:r>
                  <w:rPr>
                    <w:rFonts w:hint="eastAsia" w:ascii="Arial Narrow" w:hAnsi="Arial Narrow"/>
                  </w:rPr>
                  <w:t>11.11</w:t>
                </w:r>
              </w:p>
            </w:tc>
            <w:tc>
              <w:tcPr>
                <w:tcW w:w="1447" w:type="dxa"/>
                <w:vAlign w:val="center"/>
              </w:tcPr>
              <w:p>
                <w:pPr>
                  <w:jc w:val="right"/>
                  <w:rPr>
                    <w:sz w:val="20"/>
                    <w:szCs w:val="20"/>
                  </w:rPr>
                </w:pPr>
                <w:r>
                  <w:rPr>
                    <w:rFonts w:hint="eastAsia"/>
                    <w:sz w:val="20"/>
                    <w:szCs w:val="20"/>
                  </w:rPr>
                  <w:t xml:space="preserve">1,092,181.85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jc w:val="both"/>
                  <w:rPr>
                    <w:rFonts w:ascii="Arial Narrow" w:hAnsi="Arial Narrow"/>
                  </w:rPr>
                </w:pPr>
                <w:r>
                  <w:rPr>
                    <w:rFonts w:hint="eastAsia" w:ascii="Arial Narrow" w:hAnsi="Arial Narrow"/>
                  </w:rPr>
                  <w:t>单位二</w:t>
                </w:r>
              </w:p>
            </w:tc>
            <w:tc>
              <w:tcPr>
                <w:tcW w:w="709" w:type="dxa"/>
                <w:vAlign w:val="bottom"/>
              </w:tcPr>
              <w:p>
                <w:pPr>
                  <w:jc w:val="center"/>
                  <w:rPr>
                    <w:rFonts w:ascii="Arial Narrow" w:hAnsi="Arial Narrow"/>
                  </w:rPr>
                </w:pPr>
                <w:r>
                  <w:rPr>
                    <w:rFonts w:ascii="Arial Narrow" w:hAnsi="Arial Narrow"/>
                  </w:rPr>
                  <w:t>货款</w:t>
                </w:r>
              </w:p>
            </w:tc>
            <w:tc>
              <w:tcPr>
                <w:tcW w:w="1417" w:type="dxa"/>
                <w:vAlign w:val="center"/>
              </w:tcPr>
              <w:p>
                <w:pPr>
                  <w:jc w:val="right"/>
                  <w:rPr>
                    <w:rFonts w:ascii="Arial Narrow" w:hAnsi="Arial Narrow"/>
                  </w:rPr>
                </w:pPr>
                <w:r>
                  <w:rPr>
                    <w:rFonts w:ascii="Arial Narrow" w:hAnsi="Arial Narrow"/>
                  </w:rPr>
                  <w:t>27,428,271.91</w:t>
                </w:r>
              </w:p>
            </w:tc>
            <w:tc>
              <w:tcPr>
                <w:tcW w:w="890" w:type="dxa"/>
                <w:vAlign w:val="center"/>
              </w:tcPr>
              <w:p>
                <w:pPr>
                  <w:jc w:val="center"/>
                  <w:rPr>
                    <w:rFonts w:ascii="Arial Narrow" w:hAnsi="Arial Narrow"/>
                  </w:rPr>
                </w:pPr>
                <w:r>
                  <w:rPr>
                    <w:rFonts w:ascii="Arial Narrow" w:hAnsi="Arial Narrow"/>
                  </w:rPr>
                  <w:t>1年以内</w:t>
                </w:r>
              </w:p>
            </w:tc>
            <w:tc>
              <w:tcPr>
                <w:tcW w:w="1349" w:type="dxa"/>
                <w:vAlign w:val="center"/>
              </w:tcPr>
              <w:p>
                <w:pPr>
                  <w:jc w:val="right"/>
                  <w:rPr>
                    <w:rFonts w:ascii="Arial Narrow" w:hAnsi="Arial Narrow"/>
                  </w:rPr>
                </w:pPr>
                <w:r>
                  <w:rPr>
                    <w:rFonts w:hint="eastAsia" w:ascii="Arial Narrow" w:hAnsi="Arial Narrow"/>
                  </w:rPr>
                  <w:t>8.37</w:t>
                </w:r>
              </w:p>
            </w:tc>
            <w:tc>
              <w:tcPr>
                <w:tcW w:w="1447" w:type="dxa"/>
                <w:vAlign w:val="center"/>
              </w:tcPr>
              <w:p>
                <w:pPr>
                  <w:jc w:val="right"/>
                  <w:rPr>
                    <w:sz w:val="20"/>
                    <w:szCs w:val="20"/>
                  </w:rPr>
                </w:pPr>
                <w:r>
                  <w:rPr>
                    <w:rFonts w:hint="eastAsia"/>
                    <w:sz w:val="20"/>
                    <w:szCs w:val="20"/>
                  </w:rPr>
                  <w:t xml:space="preserve">822,848.16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rPr>
                </w:pPr>
                <w:r>
                  <w:rPr>
                    <w:rFonts w:hint="eastAsia" w:ascii="Arial Narrow" w:hAnsi="Arial Narrow"/>
                  </w:rPr>
                  <w:t>桂林市柳钢刚茂升贸易有限公司</w:t>
                </w:r>
              </w:p>
            </w:tc>
            <w:tc>
              <w:tcPr>
                <w:tcW w:w="709" w:type="dxa"/>
                <w:vAlign w:val="center"/>
              </w:tcPr>
              <w:p>
                <w:pPr>
                  <w:jc w:val="center"/>
                  <w:rPr>
                    <w:rFonts w:ascii="Arial Narrow" w:hAnsi="Arial Narrow"/>
                  </w:rPr>
                </w:pPr>
                <w:r>
                  <w:rPr>
                    <w:rFonts w:ascii="Arial Narrow" w:hAnsi="Arial Narrow"/>
                  </w:rPr>
                  <w:t>货款</w:t>
                </w:r>
              </w:p>
            </w:tc>
            <w:tc>
              <w:tcPr>
                <w:tcW w:w="1417" w:type="dxa"/>
                <w:vAlign w:val="center"/>
              </w:tcPr>
              <w:p>
                <w:pPr>
                  <w:jc w:val="right"/>
                  <w:rPr>
                    <w:rFonts w:ascii="Arial Narrow" w:hAnsi="Arial Narrow"/>
                  </w:rPr>
                </w:pPr>
                <w:r>
                  <w:rPr>
                    <w:rFonts w:ascii="Arial Narrow" w:hAnsi="Arial Narrow"/>
                  </w:rPr>
                  <w:t>23,054,041.11</w:t>
                </w:r>
              </w:p>
            </w:tc>
            <w:tc>
              <w:tcPr>
                <w:tcW w:w="890" w:type="dxa"/>
                <w:vAlign w:val="center"/>
              </w:tcPr>
              <w:p>
                <w:pPr>
                  <w:jc w:val="center"/>
                  <w:rPr>
                    <w:rFonts w:ascii="Arial Narrow" w:hAnsi="Arial Narrow"/>
                  </w:rPr>
                </w:pPr>
                <w:r>
                  <w:rPr>
                    <w:rFonts w:ascii="Arial Narrow" w:hAnsi="Arial Narrow"/>
                  </w:rPr>
                  <w:t>1年以内</w:t>
                </w:r>
              </w:p>
            </w:tc>
            <w:tc>
              <w:tcPr>
                <w:tcW w:w="1349" w:type="dxa"/>
                <w:vAlign w:val="center"/>
              </w:tcPr>
              <w:p>
                <w:pPr>
                  <w:jc w:val="right"/>
                  <w:rPr>
                    <w:rFonts w:ascii="Arial Narrow" w:hAnsi="Arial Narrow"/>
                  </w:rPr>
                </w:pPr>
                <w:r>
                  <w:rPr>
                    <w:rFonts w:hint="eastAsia" w:ascii="Arial Narrow" w:hAnsi="Arial Narrow"/>
                  </w:rPr>
                  <w:t>7.04</w:t>
                </w:r>
              </w:p>
            </w:tc>
            <w:tc>
              <w:tcPr>
                <w:tcW w:w="1447" w:type="dxa"/>
                <w:vAlign w:val="center"/>
              </w:tcPr>
              <w:p>
                <w:pPr>
                  <w:jc w:val="right"/>
                  <w:rPr>
                    <w:sz w:val="20"/>
                    <w:szCs w:val="20"/>
                  </w:rPr>
                </w:pPr>
                <w:r>
                  <w:rPr>
                    <w:rFonts w:hint="eastAsia"/>
                    <w:sz w:val="20"/>
                    <w:szCs w:val="20"/>
                  </w:rPr>
                  <w:t xml:space="preserve">691,621.23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tcBorders>
                  <w:bottom w:val="single" w:color="auto" w:sz="12" w:space="0"/>
                </w:tcBorders>
                <w:vAlign w:val="center"/>
              </w:tcPr>
              <w:p>
                <w:pPr>
                  <w:jc w:val="center"/>
                  <w:rPr>
                    <w:rFonts w:ascii="Arial Narrow" w:hAnsi="Arial Narrow"/>
                  </w:rPr>
                </w:pPr>
                <w:r>
                  <w:rPr>
                    <w:rFonts w:ascii="Arial Narrow" w:hAnsi="Arial Narrow"/>
                  </w:rPr>
                  <w:t>合计</w:t>
                </w:r>
              </w:p>
            </w:tc>
            <w:tc>
              <w:tcPr>
                <w:tcW w:w="709" w:type="dxa"/>
                <w:tcBorders>
                  <w:bottom w:val="single" w:color="auto" w:sz="12" w:space="0"/>
                </w:tcBorders>
                <w:vAlign w:val="center"/>
              </w:tcPr>
              <w:p>
                <w:pPr>
                  <w:jc w:val="center"/>
                  <w:rPr>
                    <w:rFonts w:ascii="Arial Narrow" w:hAnsi="Arial Narrow"/>
                  </w:rPr>
                </w:pPr>
                <w:r>
                  <w:rPr>
                    <w:rFonts w:ascii="Arial Narrow" w:hAnsi="Arial Narrow"/>
                  </w:rPr>
                  <w:t>/</w:t>
                </w:r>
              </w:p>
            </w:tc>
            <w:tc>
              <w:tcPr>
                <w:tcW w:w="1417" w:type="dxa"/>
                <w:tcBorders>
                  <w:bottom w:val="single" w:color="auto" w:sz="12" w:space="0"/>
                </w:tcBorders>
                <w:vAlign w:val="center"/>
              </w:tcPr>
              <w:p>
                <w:pPr>
                  <w:jc w:val="right"/>
                  <w:rPr>
                    <w:rFonts w:ascii="Arial Narrow" w:hAnsi="Arial Narrow"/>
                  </w:rPr>
                </w:pPr>
                <w:r>
                  <w:rPr>
                    <w:rFonts w:ascii="Arial Narrow" w:hAnsi="Arial Narrow"/>
                  </w:rPr>
                  <w:t xml:space="preserve">216,930,897.73 </w:t>
                </w:r>
              </w:p>
            </w:tc>
            <w:tc>
              <w:tcPr>
                <w:tcW w:w="890" w:type="dxa"/>
                <w:tcBorders>
                  <w:bottom w:val="single" w:color="auto" w:sz="12" w:space="0"/>
                </w:tcBorders>
                <w:vAlign w:val="center"/>
              </w:tcPr>
              <w:p>
                <w:pPr>
                  <w:jc w:val="center"/>
                  <w:rPr>
                    <w:rFonts w:ascii="Arial Narrow" w:hAnsi="Arial Narrow"/>
                  </w:rPr>
                </w:pPr>
                <w:r>
                  <w:rPr>
                    <w:rFonts w:ascii="Arial Narrow" w:hAnsi="Arial Narrow"/>
                  </w:rPr>
                  <w:t>/</w:t>
                </w:r>
              </w:p>
            </w:tc>
            <w:tc>
              <w:tcPr>
                <w:tcW w:w="1349" w:type="dxa"/>
                <w:tcBorders>
                  <w:bottom w:val="single" w:color="auto" w:sz="12" w:space="0"/>
                </w:tcBorders>
                <w:vAlign w:val="center"/>
              </w:tcPr>
              <w:p>
                <w:pPr>
                  <w:jc w:val="right"/>
                  <w:rPr>
                    <w:rFonts w:ascii="Arial Narrow" w:hAnsi="Arial Narrow"/>
                  </w:rPr>
                </w:pPr>
                <w:r>
                  <w:rPr>
                    <w:rFonts w:hint="eastAsia" w:ascii="Arial Narrow" w:hAnsi="Arial Narrow"/>
                  </w:rPr>
                  <w:t>66.22</w:t>
                </w:r>
              </w:p>
            </w:tc>
            <w:tc>
              <w:tcPr>
                <w:tcW w:w="1447" w:type="dxa"/>
                <w:tcBorders>
                  <w:bottom w:val="single" w:color="auto" w:sz="12" w:space="0"/>
                </w:tcBorders>
                <w:vAlign w:val="center"/>
              </w:tcPr>
              <w:p>
                <w:pPr>
                  <w:jc w:val="right"/>
                  <w:rPr>
                    <w:rFonts w:ascii="Arial Narrow" w:hAnsi="Arial Narrow"/>
                  </w:rPr>
                </w:pPr>
                <w:r>
                  <w:rPr>
                    <w:rFonts w:ascii="Arial Narrow" w:hAnsi="Arial Narrow"/>
                  </w:rPr>
                  <w:t xml:space="preserve">6,507,926.93 </w:t>
                </w:r>
              </w:p>
            </w:tc>
          </w:tr>
        </w:tbl>
        <w:p>
          <w:pPr>
            <w:pStyle w:val="76"/>
            <w:snapToGrid w:val="0"/>
            <w:spacing w:line="240" w:lineRule="atLeast"/>
            <w:rPr>
              <w:szCs w:val="21"/>
            </w:rPr>
          </w:pPr>
        </w:p>
      </w:sdtContent>
    </w:sdt>
    <w:p>
      <w:pPr>
        <w:pStyle w:val="76"/>
        <w:snapToGrid w:val="0"/>
        <w:spacing w:line="240" w:lineRule="atLeast"/>
        <w:ind w:left="-105" w:leftChars="-50"/>
        <w:rPr>
          <w:szCs w:val="21"/>
        </w:rPr>
      </w:pPr>
    </w:p>
    <w:sdt>
      <w:sdtPr>
        <w:rPr>
          <w:rFonts w:hint="eastAsia" w:ascii="Times New Roman" w:hAnsi="Times New Roman" w:cs="宋体"/>
          <w:b w:val="0"/>
          <w:bCs w:val="0"/>
          <w:kern w:val="0"/>
          <w:szCs w:val="24"/>
        </w:rPr>
        <w:alias w:val="模块:因金融资产转移而终止确认的应收账款"/>
        <w:tag w:val="_GBC_79d1ccfd87f84b4ab10a992730026aa0"/>
        <w:id w:val="25154565"/>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48"/>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25154564"/>
            <w:lock w:val="sdtContentLocked"/>
            <w:placeholder>
              <w:docPart w:val="GBC22222222222222222222222222222"/>
            </w:placeholder>
          </w:sdtPr>
          <w:sdtEndPr>
            <w:rPr>
              <w:rFonts w:hint="eastAsia"/>
              <w:szCs w:val="21"/>
            </w:rPr>
          </w:sdtEndPr>
          <w:sdtContent>
            <w:p>
              <w:pPr>
                <w:pStyle w:val="76"/>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napToGrid w:val="0"/>
            <w:spacing w:line="240" w:lineRule="atLeast"/>
            <w:rPr>
              <w:rFonts w:ascii="Times New Roman" w:hAnsi="Times New Roman"/>
            </w:rPr>
          </w:pPr>
        </w:p>
      </w:sdtContent>
    </w:sdt>
    <w:sdt>
      <w:sdtPr>
        <w:rPr>
          <w:rFonts w:hint="eastAsia" w:ascii="Times New Roman" w:hAnsi="Times New Roman" w:cs="宋体"/>
          <w:b w:val="0"/>
          <w:bCs w:val="0"/>
          <w:kern w:val="0"/>
          <w:szCs w:val="24"/>
        </w:rPr>
        <w:alias w:val="模块:转移应收账款且继续涉入的，分项列示继续涉入形成的资产、负债的金额"/>
        <w:tag w:val="_GBC_d3d5d3b413a24c269f804c6a3e3f1c06"/>
        <w:id w:val="25154567"/>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48"/>
            </w:numPr>
            <w:tabs>
              <w:tab w:val="left" w:pos="574"/>
            </w:tabs>
            <w:rPr>
              <w:rFonts w:ascii="宋体" w:hAnsi="宋体"/>
            </w:rPr>
          </w:pPr>
          <w:r>
            <w:rPr>
              <w:rFonts w:hint="eastAsia" w:ascii="宋体" w:hAnsi="宋体"/>
              <w:kern w:val="0"/>
              <w:szCs w:val="21"/>
            </w:rPr>
            <w:t>转移应收账款且</w:t>
          </w:r>
          <w:r>
            <w:rPr>
              <w:rFonts w:hint="eastAsia" w:ascii="宋体" w:hAnsi="宋体"/>
            </w:rPr>
            <w:t>继续</w:t>
          </w:r>
          <w:r>
            <w:rPr>
              <w:rFonts w:hint="eastAsia" w:ascii="宋体" w:hAnsi="宋体"/>
              <w:kern w:val="0"/>
              <w:szCs w:val="21"/>
            </w:rPr>
            <w:t>涉入形成的资产、负债金额</w:t>
          </w:r>
          <w:r>
            <w:rPr>
              <w:rFonts w:hint="eastAsia" w:ascii="宋体" w:hAnsi="宋体"/>
              <w:szCs w:val="21"/>
            </w:rPr>
            <w:t>：</w:t>
          </w:r>
        </w:p>
        <w:sdt>
          <w:sdtPr>
            <w:rPr>
              <w:rFonts w:hint="eastAsia"/>
            </w:rPr>
            <w:alias w:val="是否适用：转移应收账款且继续涉入形成的资产、负债金额[双击切换]"/>
            <w:tag w:val="_GBC_8916c4a80e024e80ab488fe678c14970"/>
            <w:id w:val="25154566"/>
            <w:lock w:val="sdtContentLocked"/>
            <w:placeholder>
              <w:docPart w:val="GBC22222222222222222222222222222"/>
            </w:placeholder>
          </w:sdtPr>
          <w:sdtEndPr>
            <w:rPr>
              <w:rFonts w:hint="eastAsia"/>
            </w:rPr>
          </w:sdtEndPr>
          <w:sdtContent>
            <w:p>
              <w:pPr>
                <w:pStyle w:val="76"/>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snapToGrid w:val="0"/>
        <w:spacing w:line="240" w:lineRule="atLeast"/>
        <w:ind w:left="-105" w:leftChars="-50"/>
        <w:rPr>
          <w:rFonts w:ascii="Times New Roman" w:hAnsi="Times New Roman"/>
        </w:rPr>
      </w:pPr>
    </w:p>
    <w:sdt>
      <w:sdtPr>
        <w:rPr>
          <w:rFonts w:hint="eastAsia" w:ascii="Times New Roman" w:hAnsi="Times New Roman"/>
          <w:b/>
          <w:bCs/>
        </w:rPr>
        <w:alias w:val="模块:应收账款其他说明"/>
        <w:tag w:val="_GBC_2f38c172c62a46cfa73776efdf952fad"/>
        <w:id w:val="25154569"/>
        <w:lock w:val="sdtLocked"/>
        <w:placeholder>
          <w:docPart w:val="GBC22222222222222222222222222222"/>
        </w:placeholder>
      </w:sdtPr>
      <w:sdtEndPr>
        <w:rPr>
          <w:rFonts w:hint="default" w:ascii="Times New Roman" w:hAnsi="Times New Roman"/>
          <w:b w:val="0"/>
          <w:bCs w:val="0"/>
        </w:rPr>
      </w:sdtEndPr>
      <w:sdtContent>
        <w:p>
          <w:pPr>
            <w:pStyle w:val="76"/>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25154568"/>
            <w:lock w:val="sdtContentLocked"/>
            <w:placeholder>
              <w:docPart w:val="GBC22222222222222222222222222222"/>
            </w:placeholder>
          </w:sdtPr>
          <w:sdtEndPr>
            <w:rPr>
              <w:rFonts w:hint="eastAsia"/>
            </w:rPr>
          </w:sdtEndPr>
          <w:sdtContent>
            <w:p>
              <w:pPr>
                <w:pStyle w:val="7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pPr>
      <w:r>
        <w:rPr>
          <w:rFonts w:hint="eastAsia"/>
        </w:rPr>
        <w:t>预付款项</w:t>
      </w:r>
    </w:p>
    <w:sdt>
      <w:sdtPr>
        <w:rPr>
          <w:rFonts w:hint="eastAsia" w:cs="宋体" w:asciiTheme="minorHAnsi" w:hAnsiTheme="minorHAnsi"/>
          <w:b w:val="0"/>
          <w:bCs w:val="0"/>
          <w:kern w:val="0"/>
          <w:szCs w:val="22"/>
        </w:rPr>
        <w:alias w:val="模块:预付款项按账龄列示"/>
        <w:tag w:val="_GBC_4c02994d3bd04bacba6592630552e576"/>
        <w:id w:val="25154586"/>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0"/>
              <w:numId w:val="49"/>
            </w:numPr>
            <w:tabs>
              <w:tab w:val="left" w:pos="616"/>
            </w:tabs>
          </w:pPr>
          <w:r>
            <w:rPr>
              <w:rFonts w:hint="eastAsia"/>
            </w:rPr>
            <w:t>预付款项按账龄列示</w:t>
          </w:r>
        </w:p>
        <w:sdt>
          <w:sdtPr>
            <w:alias w:val="是否适用：预付款项按账龄列示[双击切换]"/>
            <w:tag w:val="_GBC_af3b3e24767e48f7a70a5cfa609407a2"/>
            <w:id w:val="2515457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b/>
              <w:szCs w:val="21"/>
            </w:rPr>
          </w:pPr>
          <w:r>
            <w:rPr>
              <w:rFonts w:hint="eastAsia"/>
              <w:szCs w:val="21"/>
            </w:rPr>
            <w:t>单位：</w:t>
          </w:r>
          <w:sdt>
            <w:sdtPr>
              <w:rPr>
                <w:rFonts w:hint="eastAsia"/>
                <w:szCs w:val="21"/>
              </w:rPr>
              <w:alias w:val="单位：财务附注：预付账款账龄"/>
              <w:tag w:val="_GBC_9eb28bbf7d374cdf965c7e133b610fb3"/>
              <w:id w:val="251545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251545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361"/>
            <w:gridCol w:w="1891"/>
            <w:gridCol w:w="1877"/>
            <w:gridCol w:w="1875"/>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37" w:hRule="atLeast"/>
            </w:trPr>
            <w:sdt>
              <w:sdtPr>
                <w:tag w:val="_PLD_159a64f22a4a4b1ab31846b4d6034c4c"/>
                <w:id w:val="25154573"/>
                <w:lock w:val="sdtLocked"/>
              </w:sdtPr>
              <w:sdtContent>
                <w:tc>
                  <w:tcPr>
                    <w:tcW w:w="1361" w:type="dxa"/>
                    <w:vMerge w:val="restart"/>
                    <w:vAlign w:val="center"/>
                  </w:tcPr>
                  <w:p>
                    <w:pPr>
                      <w:pStyle w:val="76"/>
                      <w:ind w:right="5"/>
                      <w:jc w:val="center"/>
                      <w:rPr>
                        <w:szCs w:val="21"/>
                      </w:rPr>
                    </w:pPr>
                    <w:r>
                      <w:rPr>
                        <w:rFonts w:hint="eastAsia"/>
                        <w:szCs w:val="21"/>
                      </w:rPr>
                      <w:t>账龄</w:t>
                    </w:r>
                  </w:p>
                </w:tc>
              </w:sdtContent>
            </w:sdt>
            <w:sdt>
              <w:sdtPr>
                <w:tag w:val="_PLD_6ca82cba92a649d08c6ceb86dd951ef3"/>
                <w:id w:val="25154574"/>
                <w:lock w:val="sdtLocked"/>
              </w:sdtPr>
              <w:sdtContent>
                <w:tc>
                  <w:tcPr>
                    <w:tcW w:w="3768" w:type="dxa"/>
                    <w:gridSpan w:val="2"/>
                    <w:vAlign w:val="center"/>
                  </w:tcPr>
                  <w:p>
                    <w:pPr>
                      <w:pStyle w:val="76"/>
                      <w:ind w:right="5"/>
                      <w:jc w:val="center"/>
                      <w:rPr>
                        <w:szCs w:val="21"/>
                      </w:rPr>
                    </w:pPr>
                    <w:r>
                      <w:rPr>
                        <w:rFonts w:hint="eastAsia"/>
                        <w:szCs w:val="21"/>
                      </w:rPr>
                      <w:t>期末余额</w:t>
                    </w:r>
                  </w:p>
                </w:tc>
              </w:sdtContent>
            </w:sdt>
            <w:sdt>
              <w:sdtPr>
                <w:tag w:val="_PLD_365dab2f8fd246d79543ed0d2e6dcab7"/>
                <w:id w:val="25154575"/>
                <w:lock w:val="sdtLocked"/>
              </w:sdtPr>
              <w:sdtContent>
                <w:tc>
                  <w:tcPr>
                    <w:tcW w:w="3766" w:type="dxa"/>
                    <w:gridSpan w:val="2"/>
                    <w:vAlign w:val="center"/>
                  </w:tcPr>
                  <w:p>
                    <w:pPr>
                      <w:pStyle w:val="76"/>
                      <w:ind w:right="5"/>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361" w:type="dxa"/>
                <w:vMerge w:val="continue"/>
              </w:tcPr>
              <w:p>
                <w:pPr>
                  <w:pStyle w:val="76"/>
                  <w:rPr>
                    <w:szCs w:val="21"/>
                  </w:rPr>
                </w:pPr>
              </w:p>
            </w:tc>
            <w:sdt>
              <w:sdtPr>
                <w:tag w:val="_PLD_a9d7b721cfa446e9ae31149380da5970"/>
                <w:id w:val="25154576"/>
                <w:lock w:val="sdtLocked"/>
              </w:sdtPr>
              <w:sdtContent>
                <w:tc>
                  <w:tcPr>
                    <w:tcW w:w="1891" w:type="dxa"/>
                    <w:vAlign w:val="center"/>
                  </w:tcPr>
                  <w:p>
                    <w:pPr>
                      <w:pStyle w:val="76"/>
                      <w:ind w:right="5"/>
                      <w:jc w:val="center"/>
                      <w:rPr>
                        <w:szCs w:val="21"/>
                      </w:rPr>
                    </w:pPr>
                    <w:r>
                      <w:rPr>
                        <w:rFonts w:hint="eastAsia"/>
                        <w:szCs w:val="21"/>
                      </w:rPr>
                      <w:t>金额</w:t>
                    </w:r>
                  </w:p>
                </w:tc>
              </w:sdtContent>
            </w:sdt>
            <w:sdt>
              <w:sdtPr>
                <w:tag w:val="_PLD_2d8b8f523dcd4c95815b7c8fd528129d"/>
                <w:id w:val="25154577"/>
                <w:lock w:val="sdtLocked"/>
              </w:sdtPr>
              <w:sdtContent>
                <w:tc>
                  <w:tcPr>
                    <w:tcW w:w="1877" w:type="dxa"/>
                    <w:vAlign w:val="center"/>
                  </w:tcPr>
                  <w:p>
                    <w:pPr>
                      <w:pStyle w:val="76"/>
                      <w:ind w:right="5"/>
                      <w:jc w:val="center"/>
                      <w:rPr>
                        <w:szCs w:val="21"/>
                      </w:rPr>
                    </w:pPr>
                    <w:r>
                      <w:rPr>
                        <w:rFonts w:hint="eastAsia"/>
                        <w:szCs w:val="21"/>
                      </w:rPr>
                      <w:t>比例</w:t>
                    </w:r>
                    <w:r>
                      <w:rPr>
                        <w:szCs w:val="21"/>
                      </w:rPr>
                      <w:t>(%)</w:t>
                    </w:r>
                  </w:p>
                </w:tc>
              </w:sdtContent>
            </w:sdt>
            <w:sdt>
              <w:sdtPr>
                <w:tag w:val="_PLD_f01816a56b3f4ec1a7d603d3ac318eb1"/>
                <w:id w:val="25154578"/>
                <w:lock w:val="sdtLocked"/>
              </w:sdtPr>
              <w:sdtContent>
                <w:tc>
                  <w:tcPr>
                    <w:tcW w:w="1875" w:type="dxa"/>
                    <w:vAlign w:val="center"/>
                  </w:tcPr>
                  <w:p>
                    <w:pPr>
                      <w:pStyle w:val="76"/>
                      <w:ind w:right="5"/>
                      <w:jc w:val="center"/>
                      <w:rPr>
                        <w:szCs w:val="21"/>
                      </w:rPr>
                    </w:pPr>
                    <w:r>
                      <w:rPr>
                        <w:rFonts w:hint="eastAsia"/>
                        <w:szCs w:val="21"/>
                      </w:rPr>
                      <w:t>金额</w:t>
                    </w:r>
                  </w:p>
                </w:tc>
              </w:sdtContent>
            </w:sdt>
            <w:sdt>
              <w:sdtPr>
                <w:tag w:val="_PLD_55adcab5f9be4d24b3d0faaf5403e89a"/>
                <w:id w:val="25154579"/>
                <w:lock w:val="sdtLocked"/>
              </w:sdtPr>
              <w:sdtContent>
                <w:tc>
                  <w:tcPr>
                    <w:tcW w:w="1891" w:type="dxa"/>
                    <w:vAlign w:val="center"/>
                  </w:tcPr>
                  <w:p>
                    <w:pPr>
                      <w:pStyle w:val="76"/>
                      <w:ind w:right="5"/>
                      <w:jc w:val="center"/>
                      <w:rPr>
                        <w:szCs w:val="21"/>
                      </w:rPr>
                    </w:pPr>
                    <w:r>
                      <w:rPr>
                        <w:rFonts w:hint="eastAsia"/>
                        <w:szCs w:val="21"/>
                      </w:rPr>
                      <w:t>比例</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6543d5743964e32ae30d0d46bd6131c"/>
                <w:id w:val="25154580"/>
                <w:lock w:val="sdtLocked"/>
              </w:sdtPr>
              <w:sdtContent>
                <w:tc>
                  <w:tcPr>
                    <w:tcW w:w="1361" w:type="dxa"/>
                  </w:tcPr>
                  <w:p>
                    <w:pPr>
                      <w:pStyle w:val="76"/>
                      <w:ind w:right="5"/>
                      <w:rPr>
                        <w:szCs w:val="21"/>
                      </w:rPr>
                    </w:pPr>
                    <w:r>
                      <w:rPr>
                        <w:rFonts w:hint="eastAsia"/>
                        <w:szCs w:val="21"/>
                      </w:rPr>
                      <w:t>1年以内</w:t>
                    </w:r>
                  </w:p>
                </w:tc>
              </w:sdtContent>
            </w:sdt>
            <w:tc>
              <w:tcPr>
                <w:tcW w:w="1891" w:type="dxa"/>
              </w:tcPr>
              <w:p>
                <w:pPr>
                  <w:pStyle w:val="76"/>
                  <w:ind w:right="5"/>
                  <w:jc w:val="right"/>
                  <w:rPr>
                    <w:szCs w:val="21"/>
                  </w:rPr>
                </w:pPr>
                <w:r>
                  <w:t>389,482,509.95</w:t>
                </w:r>
              </w:p>
            </w:tc>
            <w:tc>
              <w:tcPr>
                <w:tcW w:w="1877" w:type="dxa"/>
              </w:tcPr>
              <w:p>
                <w:pPr>
                  <w:pStyle w:val="76"/>
                  <w:ind w:right="5"/>
                  <w:jc w:val="right"/>
                  <w:rPr>
                    <w:szCs w:val="21"/>
                  </w:rPr>
                </w:pPr>
                <w:r>
                  <w:t>96.38</w:t>
                </w:r>
              </w:p>
            </w:tc>
            <w:tc>
              <w:tcPr>
                <w:tcW w:w="1875" w:type="dxa"/>
              </w:tcPr>
              <w:p>
                <w:pPr>
                  <w:pStyle w:val="76"/>
                  <w:ind w:right="5"/>
                  <w:jc w:val="right"/>
                  <w:rPr>
                    <w:szCs w:val="21"/>
                  </w:rPr>
                </w:pPr>
                <w:r>
                  <w:t>728,489,793.01</w:t>
                </w:r>
              </w:p>
            </w:tc>
            <w:tc>
              <w:tcPr>
                <w:tcW w:w="1891" w:type="dxa"/>
              </w:tcPr>
              <w:p>
                <w:pPr>
                  <w:pStyle w:val="76"/>
                  <w:ind w:right="5"/>
                  <w:jc w:val="right"/>
                  <w:rPr>
                    <w:szCs w:val="21"/>
                  </w:rPr>
                </w:pPr>
                <w: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fa162d7579db4acd997484df51e51de6"/>
                <w:id w:val="25154581"/>
                <w:lock w:val="sdtLocked"/>
              </w:sdtPr>
              <w:sdtContent>
                <w:tc>
                  <w:tcPr>
                    <w:tcW w:w="1361" w:type="dxa"/>
                  </w:tcPr>
                  <w:p>
                    <w:pPr>
                      <w:pStyle w:val="76"/>
                      <w:ind w:right="5"/>
                      <w:rPr>
                        <w:szCs w:val="21"/>
                      </w:rPr>
                    </w:pPr>
                    <w:r>
                      <w:rPr>
                        <w:rFonts w:hint="eastAsia"/>
                        <w:szCs w:val="21"/>
                      </w:rPr>
                      <w:t>1至2年</w:t>
                    </w:r>
                  </w:p>
                </w:tc>
              </w:sdtContent>
            </w:sdt>
            <w:tc>
              <w:tcPr>
                <w:tcW w:w="1891" w:type="dxa"/>
              </w:tcPr>
              <w:p>
                <w:pPr>
                  <w:pStyle w:val="76"/>
                  <w:ind w:right="5"/>
                  <w:jc w:val="right"/>
                  <w:rPr>
                    <w:szCs w:val="21"/>
                  </w:rPr>
                </w:pPr>
                <w:r>
                  <w:t>647,978.77</w:t>
                </w:r>
              </w:p>
            </w:tc>
            <w:tc>
              <w:tcPr>
                <w:tcW w:w="1877" w:type="dxa"/>
              </w:tcPr>
              <w:p>
                <w:pPr>
                  <w:pStyle w:val="76"/>
                  <w:ind w:right="5"/>
                  <w:jc w:val="right"/>
                  <w:rPr>
                    <w:szCs w:val="21"/>
                  </w:rPr>
                </w:pPr>
                <w:r>
                  <w:t>0.16</w:t>
                </w:r>
              </w:p>
            </w:tc>
            <w:tc>
              <w:tcPr>
                <w:tcW w:w="1875" w:type="dxa"/>
              </w:tcPr>
              <w:p>
                <w:pPr>
                  <w:pStyle w:val="76"/>
                  <w:ind w:right="5"/>
                  <w:jc w:val="right"/>
                  <w:rPr>
                    <w:szCs w:val="21"/>
                  </w:rPr>
                </w:pPr>
                <w:r>
                  <w:t>6,082,034.17</w:t>
                </w:r>
              </w:p>
            </w:tc>
            <w:tc>
              <w:tcPr>
                <w:tcW w:w="1891" w:type="dxa"/>
              </w:tcPr>
              <w:p>
                <w:pPr>
                  <w:pStyle w:val="76"/>
                  <w:ind w:right="5"/>
                  <w:jc w:val="right"/>
                  <w:rPr>
                    <w:szCs w:val="21"/>
                  </w:rPr>
                </w:pPr>
                <w: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3897a3965694d6691fcba6be58bfd88"/>
                <w:id w:val="25154582"/>
                <w:lock w:val="sdtLocked"/>
              </w:sdtPr>
              <w:sdtContent>
                <w:tc>
                  <w:tcPr>
                    <w:tcW w:w="1361" w:type="dxa"/>
                  </w:tcPr>
                  <w:p>
                    <w:pPr>
                      <w:pStyle w:val="76"/>
                      <w:ind w:right="5"/>
                      <w:rPr>
                        <w:szCs w:val="21"/>
                      </w:rPr>
                    </w:pPr>
                    <w:r>
                      <w:rPr>
                        <w:rFonts w:hint="eastAsia"/>
                        <w:szCs w:val="21"/>
                      </w:rPr>
                      <w:t>2至3年</w:t>
                    </w:r>
                  </w:p>
                </w:tc>
              </w:sdtContent>
            </w:sdt>
            <w:tc>
              <w:tcPr>
                <w:tcW w:w="1891" w:type="dxa"/>
              </w:tcPr>
              <w:p>
                <w:pPr>
                  <w:pStyle w:val="76"/>
                  <w:ind w:right="5"/>
                  <w:jc w:val="right"/>
                  <w:rPr>
                    <w:szCs w:val="21"/>
                  </w:rPr>
                </w:pPr>
                <w:r>
                  <w:t>4,403,012.57</w:t>
                </w:r>
              </w:p>
            </w:tc>
            <w:tc>
              <w:tcPr>
                <w:tcW w:w="1877" w:type="dxa"/>
              </w:tcPr>
              <w:p>
                <w:pPr>
                  <w:pStyle w:val="76"/>
                  <w:ind w:right="5"/>
                  <w:jc w:val="right"/>
                  <w:rPr>
                    <w:szCs w:val="21"/>
                  </w:rPr>
                </w:pPr>
                <w:r>
                  <w:t>1.09</w:t>
                </w:r>
              </w:p>
            </w:tc>
            <w:tc>
              <w:tcPr>
                <w:tcW w:w="1875" w:type="dxa"/>
              </w:tcPr>
              <w:p>
                <w:pPr>
                  <w:pStyle w:val="76"/>
                  <w:ind w:right="5"/>
                  <w:jc w:val="right"/>
                  <w:rPr>
                    <w:szCs w:val="21"/>
                  </w:rPr>
                </w:pPr>
                <w:r>
                  <w:t>8,450,345.16</w:t>
                </w:r>
              </w:p>
            </w:tc>
            <w:tc>
              <w:tcPr>
                <w:tcW w:w="1891" w:type="dxa"/>
              </w:tcPr>
              <w:p>
                <w:pPr>
                  <w:pStyle w:val="76"/>
                  <w:ind w:right="5"/>
                  <w:jc w:val="right"/>
                  <w:rPr>
                    <w:szCs w:val="21"/>
                  </w:rPr>
                </w:pPr>
                <w: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b596048f7e846139c705c6214cec5e4"/>
                <w:id w:val="25154583"/>
                <w:lock w:val="sdtLocked"/>
              </w:sdtPr>
              <w:sdtContent>
                <w:tc>
                  <w:tcPr>
                    <w:tcW w:w="1361" w:type="dxa"/>
                  </w:tcPr>
                  <w:p>
                    <w:pPr>
                      <w:pStyle w:val="76"/>
                      <w:ind w:right="5"/>
                      <w:rPr>
                        <w:szCs w:val="21"/>
                      </w:rPr>
                    </w:pPr>
                    <w:r>
                      <w:rPr>
                        <w:rFonts w:hint="eastAsia"/>
                        <w:szCs w:val="21"/>
                      </w:rPr>
                      <w:t>3年以上</w:t>
                    </w:r>
                  </w:p>
                </w:tc>
              </w:sdtContent>
            </w:sdt>
            <w:tc>
              <w:tcPr>
                <w:tcW w:w="1891" w:type="dxa"/>
              </w:tcPr>
              <w:p>
                <w:pPr>
                  <w:pStyle w:val="76"/>
                  <w:ind w:right="5"/>
                  <w:jc w:val="right"/>
                  <w:rPr>
                    <w:szCs w:val="21"/>
                  </w:rPr>
                </w:pPr>
                <w:r>
                  <w:t>9,560,307.74</w:t>
                </w:r>
              </w:p>
            </w:tc>
            <w:tc>
              <w:tcPr>
                <w:tcW w:w="1877" w:type="dxa"/>
              </w:tcPr>
              <w:p>
                <w:pPr>
                  <w:pStyle w:val="76"/>
                  <w:ind w:right="5"/>
                  <w:jc w:val="right"/>
                  <w:rPr>
                    <w:szCs w:val="21"/>
                  </w:rPr>
                </w:pPr>
                <w:r>
                  <w:t>2.37</w:t>
                </w:r>
              </w:p>
            </w:tc>
            <w:tc>
              <w:tcPr>
                <w:tcW w:w="1875" w:type="dxa"/>
              </w:tcPr>
              <w:p>
                <w:pPr>
                  <w:pStyle w:val="76"/>
                  <w:ind w:right="5"/>
                  <w:jc w:val="right"/>
                  <w:rPr>
                    <w:szCs w:val="21"/>
                  </w:rPr>
                </w:pPr>
                <w:r>
                  <w:t>2,021,088.28</w:t>
                </w:r>
              </w:p>
            </w:tc>
            <w:tc>
              <w:tcPr>
                <w:tcW w:w="1891" w:type="dxa"/>
              </w:tcPr>
              <w:p>
                <w:pPr>
                  <w:pStyle w:val="76"/>
                  <w:ind w:right="5"/>
                  <w:jc w:val="right"/>
                  <w:rPr>
                    <w:szCs w:val="21"/>
                  </w:rPr>
                </w:pPr>
                <w: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73a38e1adc44faa97354ca876a6da1b"/>
                <w:id w:val="25154584"/>
                <w:lock w:val="sdtLocked"/>
              </w:sdtPr>
              <w:sdtContent>
                <w:tc>
                  <w:tcPr>
                    <w:tcW w:w="1361" w:type="dxa"/>
                  </w:tcPr>
                  <w:p>
                    <w:pPr>
                      <w:pStyle w:val="76"/>
                      <w:ind w:right="5"/>
                      <w:jc w:val="center"/>
                      <w:rPr>
                        <w:szCs w:val="21"/>
                      </w:rPr>
                    </w:pPr>
                    <w:r>
                      <w:rPr>
                        <w:rFonts w:hint="eastAsia"/>
                        <w:szCs w:val="21"/>
                      </w:rPr>
                      <w:t>合计</w:t>
                    </w:r>
                  </w:p>
                </w:tc>
              </w:sdtContent>
            </w:sdt>
            <w:tc>
              <w:tcPr>
                <w:tcW w:w="1891" w:type="dxa"/>
              </w:tcPr>
              <w:p>
                <w:pPr>
                  <w:pStyle w:val="76"/>
                  <w:ind w:right="5"/>
                  <w:jc w:val="right"/>
                  <w:rPr>
                    <w:szCs w:val="21"/>
                  </w:rPr>
                </w:pPr>
                <w:r>
                  <w:t>404,093,809.03</w:t>
                </w:r>
              </w:p>
            </w:tc>
            <w:tc>
              <w:tcPr>
                <w:tcW w:w="1877" w:type="dxa"/>
              </w:tcPr>
              <w:p>
                <w:pPr>
                  <w:pStyle w:val="76"/>
                  <w:ind w:right="5"/>
                  <w:jc w:val="right"/>
                  <w:rPr>
                    <w:szCs w:val="21"/>
                  </w:rPr>
                </w:pPr>
                <w:r>
                  <w:t>100.00</w:t>
                </w:r>
              </w:p>
            </w:tc>
            <w:tc>
              <w:tcPr>
                <w:tcW w:w="1875" w:type="dxa"/>
              </w:tcPr>
              <w:p>
                <w:pPr>
                  <w:pStyle w:val="76"/>
                  <w:ind w:right="5"/>
                  <w:jc w:val="right"/>
                  <w:rPr>
                    <w:szCs w:val="21"/>
                  </w:rPr>
                </w:pPr>
                <w:r>
                  <w:t>745,043,260.62</w:t>
                </w:r>
              </w:p>
            </w:tc>
            <w:tc>
              <w:tcPr>
                <w:tcW w:w="1891" w:type="dxa"/>
              </w:tcPr>
              <w:p>
                <w:pPr>
                  <w:pStyle w:val="76"/>
                  <w:ind w:right="5"/>
                  <w:jc w:val="right"/>
                  <w:rPr>
                    <w:szCs w:val="21"/>
                  </w:rPr>
                </w:pPr>
                <w:r>
                  <w:t>100.00</w:t>
                </w:r>
              </w:p>
            </w:tc>
          </w:tr>
        </w:tbl>
        <w:p>
          <w:pPr>
            <w:pStyle w:val="76"/>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25154585"/>
            <w:lock w:val="sdtLocked"/>
            <w:placeholder>
              <w:docPart w:val="GBC22222222222222222222222222222"/>
            </w:placeholder>
          </w:sdtPr>
          <w:sdtEndPr>
            <w:rPr>
              <w:szCs w:val="21"/>
            </w:rPr>
          </w:sdtEndPr>
          <w:sdtContent>
            <w:p>
              <w:pPr>
                <w:pStyle w:val="76"/>
                <w:rPr>
                  <w:szCs w:val="21"/>
                </w:rPr>
              </w:pPr>
              <w:r>
                <w:rPr>
                  <w:rFonts w:hint="eastAsia"/>
                  <w:szCs w:val="21"/>
                </w:rPr>
                <w:t>公司预付账款账龄超过</w:t>
              </w:r>
              <w:r>
                <w:rPr>
                  <w:szCs w:val="21"/>
                </w:rPr>
                <w:t>1年的款项均为小额未到结算期款项。</w:t>
              </w:r>
            </w:p>
          </w:sdtContent>
        </w:sdt>
      </w:sdtContent>
    </w:sdt>
    <w:p>
      <w:pPr>
        <w:pStyle w:val="76"/>
        <w:rPr>
          <w:szCs w:val="21"/>
        </w:rPr>
      </w:pPr>
    </w:p>
    <w:sdt>
      <w:sdtPr>
        <w:rPr>
          <w:rFonts w:hint="eastAsia" w:ascii="宋体" w:hAnsi="宋体" w:cs="宋体"/>
          <w:b w:val="0"/>
          <w:bCs w:val="0"/>
          <w:kern w:val="0"/>
          <w:szCs w:val="24"/>
        </w:rPr>
        <w:alias w:val="模块:预付款项金额前五名单位情况"/>
        <w:tag w:val="_GBC_2c5fba8651a04a6d88c0c9fc33310c57"/>
        <w:id w:val="25154589"/>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49"/>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25154587"/>
            <w:lock w:val="sdtContentLocked"/>
            <w:placeholder>
              <w:docPart w:val="GBC22222222222222222222222222222"/>
            </w:placeholder>
          </w:sdtPr>
          <w:sdtEndPr>
            <w:rPr>
              <w:rFonts w:hint="eastAsia"/>
              <w:szCs w:val="21"/>
            </w:rPr>
          </w:sdtEndPr>
          <w:sdtContent>
            <w:p>
              <w:pPr>
                <w:pStyle w:val="76"/>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25154588"/>
            <w:lock w:val="sdtLocked"/>
            <w:placeholder>
              <w:docPart w:val="GBC22222222222222222222222222222"/>
            </w:placeholder>
          </w:sdtPr>
          <w:sdtEndPr>
            <w:rPr>
              <w:szCs w:val="24"/>
            </w:rPr>
          </w:sdtEndPr>
          <w:sdtContent>
            <w:p>
              <w:pPr>
                <w:pStyle w:val="76"/>
                <w:snapToGrid w:val="0"/>
                <w:spacing w:line="240" w:lineRule="atLeast"/>
                <w:rPr>
                  <w:szCs w:val="21"/>
                </w:rPr>
              </w:pPr>
            </w:p>
            <w:tbl>
              <w:tblPr>
                <w:tblStyle w:val="75"/>
                <w:tblW w:w="8472" w:type="dxa"/>
                <w:tblInd w:w="-2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456"/>
                <w:gridCol w:w="2754"/>
                <w:gridCol w:w="2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top w:val="single" w:color="auto" w:sz="12" w:space="0"/>
                    </w:tcBorders>
                    <w:vAlign w:val="center"/>
                  </w:tcPr>
                  <w:p>
                    <w:pPr>
                      <w:pStyle w:val="76"/>
                      <w:snapToGrid w:val="0"/>
                      <w:spacing w:line="240" w:lineRule="atLeast"/>
                      <w:jc w:val="center"/>
                      <w:rPr>
                        <w:rFonts w:ascii="Arial Narrow" w:hAnsi="Arial Narrow" w:cs="Arial Narrow"/>
                      </w:rPr>
                    </w:pPr>
                    <w:r>
                      <w:rPr>
                        <w:rFonts w:hint="eastAsia" w:ascii="Arial Narrow" w:hAnsi="Arial Narrow"/>
                      </w:rPr>
                      <w:t>单位名称</w:t>
                    </w:r>
                  </w:p>
                </w:tc>
                <w:tc>
                  <w:tcPr>
                    <w:tcW w:w="2754" w:type="dxa"/>
                    <w:tcBorders>
                      <w:top w:val="single" w:color="auto" w:sz="12" w:space="0"/>
                    </w:tcBorders>
                    <w:vAlign w:val="center"/>
                  </w:tcPr>
                  <w:p>
                    <w:pPr>
                      <w:pStyle w:val="76"/>
                      <w:snapToGrid w:val="0"/>
                      <w:spacing w:line="240" w:lineRule="atLeast"/>
                      <w:jc w:val="center"/>
                      <w:rPr>
                        <w:rFonts w:ascii="Arial Narrow" w:hAnsi="Arial Narrow" w:cs="Arial Narrow"/>
                      </w:rPr>
                    </w:pPr>
                    <w:r>
                      <w:rPr>
                        <w:rFonts w:hint="eastAsia" w:ascii="Arial Narrow" w:hAnsi="Arial Narrow"/>
                      </w:rPr>
                      <w:t>期末余额</w:t>
                    </w:r>
                  </w:p>
                </w:tc>
                <w:tc>
                  <w:tcPr>
                    <w:tcW w:w="2262" w:type="dxa"/>
                    <w:tcBorders>
                      <w:top w:val="single" w:color="auto" w:sz="12" w:space="0"/>
                    </w:tcBorders>
                    <w:vAlign w:val="center"/>
                  </w:tcPr>
                  <w:p>
                    <w:pPr>
                      <w:pStyle w:val="76"/>
                      <w:snapToGrid w:val="0"/>
                      <w:spacing w:line="240" w:lineRule="atLeast"/>
                      <w:jc w:val="center"/>
                      <w:rPr>
                        <w:rFonts w:ascii="Arial Narrow" w:hAnsi="Arial Narrow" w:cs="Arial Narrow"/>
                      </w:rPr>
                    </w:pPr>
                    <w:r>
                      <w:rPr>
                        <w:rFonts w:hint="eastAsia" w:ascii="Arial Narrow" w:hAnsi="Arial Narrow"/>
                      </w:rPr>
                      <w:t>占预付账款期末余额合计数的比例</w:t>
                    </w:r>
                    <w:r>
                      <w:rPr>
                        <w:rFonts w:ascii="Arial Narrow" w:hAnsi="Arial Narrow" w:cs="Arial Narrow"/>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76"/>
                      <w:rPr>
                        <w:szCs w:val="21"/>
                      </w:rPr>
                    </w:pPr>
                    <w:r>
                      <w:rPr>
                        <w:rFonts w:hint="eastAsia"/>
                        <w:szCs w:val="21"/>
                      </w:rPr>
                      <w:t>广西柳钢国际贸易有限公司</w:t>
                    </w:r>
                  </w:p>
                </w:tc>
                <w:tc>
                  <w:tcPr>
                    <w:tcW w:w="2754" w:type="dxa"/>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265,610,365.87</w:t>
                    </w:r>
                  </w:p>
                </w:tc>
                <w:tc>
                  <w:tcPr>
                    <w:tcW w:w="2262" w:type="dxa"/>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65.73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76"/>
                      <w:rPr>
                        <w:szCs w:val="21"/>
                      </w:rPr>
                    </w:pPr>
                    <w:r>
                      <w:rPr>
                        <w:rFonts w:hint="eastAsia"/>
                        <w:szCs w:val="21"/>
                      </w:rPr>
                      <w:t>单位一</w:t>
                    </w:r>
                  </w:p>
                </w:tc>
                <w:tc>
                  <w:tcPr>
                    <w:tcW w:w="2754" w:type="dxa"/>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66,349,074.14</w:t>
                    </w:r>
                  </w:p>
                </w:tc>
                <w:tc>
                  <w:tcPr>
                    <w:tcW w:w="2262" w:type="dxa"/>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16.42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76"/>
                      <w:rPr>
                        <w:szCs w:val="21"/>
                      </w:rPr>
                    </w:pPr>
                    <w:r>
                      <w:rPr>
                        <w:rFonts w:hint="eastAsia"/>
                        <w:szCs w:val="21"/>
                      </w:rPr>
                      <w:t>单位二</w:t>
                    </w:r>
                  </w:p>
                </w:tc>
                <w:tc>
                  <w:tcPr>
                    <w:tcW w:w="2754" w:type="dxa"/>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 xml:space="preserve">37,251,623.09 </w:t>
                    </w:r>
                  </w:p>
                </w:tc>
                <w:tc>
                  <w:tcPr>
                    <w:tcW w:w="2262" w:type="dxa"/>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9.22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76"/>
                      <w:rPr>
                        <w:szCs w:val="21"/>
                      </w:rPr>
                    </w:pPr>
                    <w:r>
                      <w:rPr>
                        <w:rFonts w:hint="eastAsia"/>
                        <w:szCs w:val="21"/>
                      </w:rPr>
                      <w:t>单位三</w:t>
                    </w:r>
                  </w:p>
                </w:tc>
                <w:tc>
                  <w:tcPr>
                    <w:tcW w:w="2754" w:type="dxa"/>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13,997,402.61</w:t>
                    </w:r>
                  </w:p>
                </w:tc>
                <w:tc>
                  <w:tcPr>
                    <w:tcW w:w="2262" w:type="dxa"/>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3.46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76"/>
                      <w:rPr>
                        <w:szCs w:val="21"/>
                      </w:rPr>
                    </w:pPr>
                    <w:r>
                      <w:rPr>
                        <w:rFonts w:hint="eastAsia"/>
                        <w:szCs w:val="21"/>
                      </w:rPr>
                      <w:t>单位四</w:t>
                    </w:r>
                  </w:p>
                </w:tc>
                <w:tc>
                  <w:tcPr>
                    <w:tcW w:w="2754" w:type="dxa"/>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 xml:space="preserve">  7,756,835.16   </w:t>
                    </w:r>
                  </w:p>
                </w:tc>
                <w:tc>
                  <w:tcPr>
                    <w:tcW w:w="2262" w:type="dxa"/>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1.92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bottom w:val="single" w:color="auto" w:sz="12" w:space="0"/>
                    </w:tcBorders>
                  </w:tcPr>
                  <w:p>
                    <w:pPr>
                      <w:pStyle w:val="76"/>
                      <w:jc w:val="center"/>
                      <w:rPr>
                        <w:szCs w:val="21"/>
                      </w:rPr>
                    </w:pPr>
                    <w:r>
                      <w:rPr>
                        <w:rFonts w:hint="eastAsia"/>
                        <w:szCs w:val="21"/>
                      </w:rPr>
                      <w:t>合计</w:t>
                    </w:r>
                  </w:p>
                </w:tc>
                <w:tc>
                  <w:tcPr>
                    <w:tcW w:w="2754" w:type="dxa"/>
                    <w:tcBorders>
                      <w:bottom w:val="single" w:color="auto" w:sz="12" w:space="0"/>
                    </w:tcBorders>
                    <w:vAlign w:val="center"/>
                  </w:tcPr>
                  <w:p>
                    <w:pPr>
                      <w:pStyle w:val="76"/>
                      <w:jc w:val="right"/>
                      <w:rPr>
                        <w:rFonts w:asciiTheme="majorEastAsia" w:hAnsiTheme="majorEastAsia" w:eastAsiaTheme="majorEastAsia"/>
                        <w:szCs w:val="21"/>
                      </w:rPr>
                    </w:pPr>
                    <w:r>
                      <w:rPr>
                        <w:rFonts w:asciiTheme="majorEastAsia" w:hAnsiTheme="majorEastAsia" w:eastAsiaTheme="majorEastAsia"/>
                        <w:szCs w:val="21"/>
                      </w:rPr>
                      <w:t>390,965,300.87</w:t>
                    </w:r>
                  </w:p>
                </w:tc>
                <w:tc>
                  <w:tcPr>
                    <w:tcW w:w="2262" w:type="dxa"/>
                    <w:tcBorders>
                      <w:bottom w:val="single" w:color="auto" w:sz="12" w:space="0"/>
                    </w:tcBorders>
                    <w:vAlign w:val="center"/>
                  </w:tcPr>
                  <w:p>
                    <w:pPr>
                      <w:pStyle w:val="76"/>
                      <w:jc w:val="right"/>
                      <w:rPr>
                        <w:rFonts w:asciiTheme="majorEastAsia" w:hAnsiTheme="majorEastAsia" w:eastAsiaTheme="majorEastAsia"/>
                        <w:szCs w:val="21"/>
                      </w:rPr>
                    </w:pPr>
                    <w:r>
                      <w:rPr>
                        <w:rFonts w:hint="eastAsia" w:asciiTheme="majorEastAsia" w:hAnsiTheme="majorEastAsia" w:eastAsiaTheme="majorEastAsia"/>
                        <w:szCs w:val="21"/>
                      </w:rPr>
                      <w:t>96.75</w:t>
                    </w:r>
                  </w:p>
                </w:tc>
              </w:tr>
            </w:tbl>
            <w:p>
              <w:pPr>
                <w:pStyle w:val="76"/>
              </w:pPr>
            </w:p>
          </w:sdtContent>
        </w:sdt>
        <w:p>
          <w:pPr>
            <w:pStyle w:val="76"/>
            <w:snapToGrid w:val="0"/>
            <w:spacing w:line="240" w:lineRule="atLeast"/>
            <w:rPr>
              <w:szCs w:val="21"/>
            </w:rPr>
          </w:pPr>
        </w:p>
      </w:sdtContent>
    </w:sdt>
    <w:sdt>
      <w:sdtPr>
        <w:rPr>
          <w:rFonts w:hint="eastAsia" w:ascii="Times New Roman" w:hAnsi="Times New Roman"/>
          <w:b/>
          <w:bCs/>
        </w:rPr>
        <w:alias w:val="模块:预付款项的说明"/>
        <w:tag w:val="_GBC_ee9bedfa5e5340c9b02fb474f1a1fc26"/>
        <w:id w:val="25154591"/>
        <w:lock w:val="sdtLocked"/>
        <w:placeholder>
          <w:docPart w:val="GBC22222222222222222222222222222"/>
        </w:placeholder>
      </w:sdtPr>
      <w:sdtEndPr>
        <w:rPr>
          <w:rFonts w:hint="default" w:ascii="Times New Roman" w:hAnsi="Times New Roman"/>
          <w:b w:val="0"/>
          <w:bCs w:val="0"/>
        </w:rPr>
      </w:sdtEndPr>
      <w:sdtContent>
        <w:p>
          <w:pPr>
            <w:pStyle w:val="76"/>
          </w:pPr>
          <w:r>
            <w:rPr>
              <w:rFonts w:hint="eastAsia"/>
            </w:rPr>
            <w:t>其他说明</w:t>
          </w:r>
        </w:p>
        <w:sdt>
          <w:sdtPr>
            <w:alias w:val="是否适用：预付帐款的说明[双击切换]"/>
            <w:tag w:val="_GBC_c712ee6483d44c77b1f563e552689c6d"/>
            <w:id w:val="25154590"/>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pPr>
      <w:r>
        <w:rPr>
          <w:rFonts w:hint="eastAsia"/>
        </w:rPr>
        <w:t>应收利息</w:t>
      </w:r>
    </w:p>
    <w:sdt>
      <w:sdtPr>
        <w:rPr>
          <w:rFonts w:hint="eastAsia" w:cs="宋体" w:asciiTheme="minorHAnsi" w:hAnsiTheme="minorHAnsi"/>
          <w:b w:val="0"/>
          <w:bCs w:val="0"/>
          <w:kern w:val="0"/>
          <w:szCs w:val="22"/>
        </w:rPr>
        <w:alias w:val="模块:应收利息"/>
        <w:tag w:val="_GBC_6620e2366b444b3fb9e784e1bb6a87fd"/>
        <w:id w:val="25154593"/>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80"/>
            <w:numPr>
              <w:ilvl w:val="3"/>
              <w:numId w:val="50"/>
            </w:numPr>
            <w:tabs>
              <w:tab w:val="left" w:pos="546"/>
            </w:tabs>
          </w:pPr>
          <w:r>
            <w:rPr>
              <w:rFonts w:hint="eastAsia"/>
            </w:rPr>
            <w:t>应收利息分类</w:t>
          </w:r>
        </w:p>
        <w:sdt>
          <w:sdtPr>
            <w:alias w:val="是否适用：应收利息分类[双击切换]"/>
            <w:tag w:val="_GBC_86f9e9a81d7d4e07ae6873a88ddf6cc7"/>
            <w:id w:val="2515459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逾期利息"/>
        <w:tag w:val="_GBC_bcfcff19f55a43f988e9223dca0728dc"/>
        <w:id w:val="25154595"/>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50"/>
            </w:numPr>
            <w:tabs>
              <w:tab w:val="left" w:pos="546"/>
            </w:tabs>
          </w:pPr>
          <w:r>
            <w:rPr>
              <w:rFonts w:hint="eastAsia"/>
            </w:rPr>
            <w:t>重要逾期利息</w:t>
          </w:r>
        </w:p>
        <w:sdt>
          <w:sdtPr>
            <w:alias w:val="是否适用：重要逾期利息[双击切换]"/>
            <w:tag w:val="_GBC_4554f307ef2241a583829b74df8ef0c3"/>
            <w:id w:val="2515459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应收利息的说明"/>
        <w:tag w:val="_GBC_0dc3bcd06a754f79952657ba82acdc9f"/>
        <w:id w:val="25154597"/>
        <w:lock w:val="sdtLocked"/>
        <w:placeholder>
          <w:docPart w:val="GBC22222222222222222222222222222"/>
        </w:placeholder>
      </w:sdtPr>
      <w:sdtEndPr>
        <w:rPr>
          <w:rFonts w:hint="default"/>
          <w:b w:val="0"/>
          <w:bCs w:val="0"/>
          <w:szCs w:val="21"/>
        </w:rPr>
      </w:sdtEndPr>
      <w:sdtContent>
        <w:p>
          <w:pPr>
            <w:pStyle w:val="76"/>
          </w:pPr>
          <w:r>
            <w:rPr>
              <w:rFonts w:hint="eastAsia"/>
            </w:rPr>
            <w:t>其他说明：</w:t>
          </w:r>
        </w:p>
        <w:sdt>
          <w:sdtPr>
            <w:alias w:val="是否适用：应收利息的说明[双击切换]"/>
            <w:tag w:val="_GBC_9fcbab94f58048baace4761ca17ae925"/>
            <w:id w:val="25154596"/>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tabs>
          <w:tab w:val="left" w:pos="567"/>
        </w:tabs>
        <w:rPr>
          <w:rFonts w:ascii="宋体" w:hAnsi="宋体"/>
          <w:szCs w:val="21"/>
        </w:rPr>
      </w:pPr>
      <w:r>
        <w:rPr>
          <w:rFonts w:hint="eastAsia" w:ascii="宋体" w:hAnsi="宋体"/>
          <w:szCs w:val="21"/>
        </w:rPr>
        <w:t>应收股利</w:t>
      </w:r>
    </w:p>
    <w:sdt>
      <w:sdtPr>
        <w:rPr>
          <w:rFonts w:hint="eastAsia" w:asciiTheme="minorHAnsi" w:hAnsiTheme="minorHAnsi" w:cstheme="minorBidi"/>
          <w:b w:val="0"/>
          <w:bCs w:val="0"/>
          <w:kern w:val="0"/>
          <w:szCs w:val="22"/>
        </w:rPr>
        <w:alias w:val="模块:应收股利"/>
        <w:tag w:val="_GBC_94a22362634d47499fd45a0a5577c49b"/>
        <w:id w:val="25154599"/>
        <w:lock w:val="sdtLocked"/>
        <w:placeholder>
          <w:docPart w:val="GBC22222222222222222222222222222"/>
        </w:placeholder>
      </w:sdtPr>
      <w:sdtEndPr>
        <w:rPr>
          <w:rFonts w:hint="eastAsia" w:ascii="Times New Roman" w:hAnsi="Times New Roman" w:cs="Times New Roman"/>
          <w:b w:val="0"/>
          <w:bCs w:val="0"/>
          <w:kern w:val="0"/>
          <w:szCs w:val="24"/>
        </w:rPr>
      </w:sdtEndPr>
      <w:sdtContent>
        <w:p>
          <w:pPr>
            <w:pStyle w:val="80"/>
            <w:numPr>
              <w:ilvl w:val="3"/>
              <w:numId w:val="51"/>
            </w:numPr>
            <w:tabs>
              <w:tab w:val="left" w:pos="560"/>
            </w:tabs>
          </w:pPr>
          <w:r>
            <w:rPr>
              <w:rFonts w:hint="eastAsia"/>
            </w:rPr>
            <w:t>应收股利</w:t>
          </w:r>
        </w:p>
        <w:sdt>
          <w:sdtPr>
            <w:alias w:val="是否适用：应收股利[双击切换]"/>
            <w:tag w:val="_GBC_002b8ba295db406eb34a179aa27a4801"/>
            <w:id w:val="2515459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Theme="minorHAnsi" w:hAnsiTheme="minorHAnsi" w:cstheme="minorBidi"/>
          <w:b w:val="0"/>
          <w:bCs w:val="0"/>
          <w:kern w:val="0"/>
          <w:szCs w:val="22"/>
        </w:rPr>
        <w:alias w:val="模块:应收股利"/>
        <w:tag w:val="_GBC_aafe0f2583ac4a35a029d834ee52b5de"/>
        <w:id w:val="25154601"/>
        <w:lock w:val="sdtLocked"/>
        <w:placeholder>
          <w:docPart w:val="GBC22222222222222222222222222222"/>
        </w:placeholder>
      </w:sdtPr>
      <w:sdtEndPr>
        <w:rPr>
          <w:rFonts w:hint="eastAsia" w:ascii="Times New Roman" w:hAnsi="Times New Roman" w:cs="Times New Roman"/>
          <w:b w:val="0"/>
          <w:bCs w:val="0"/>
          <w:kern w:val="0"/>
          <w:szCs w:val="24"/>
        </w:rPr>
      </w:sdtEndPr>
      <w:sdtContent>
        <w:p>
          <w:pPr>
            <w:pStyle w:val="80"/>
            <w:numPr>
              <w:ilvl w:val="3"/>
              <w:numId w:val="51"/>
            </w:numPr>
            <w:tabs>
              <w:tab w:val="left" w:pos="560"/>
            </w:tabs>
          </w:pPr>
          <w:r>
            <w:rPr>
              <w:rFonts w:hint="eastAsia"/>
            </w:rPr>
            <w:t>重要的账龄超过1年的应收股利：</w:t>
          </w:r>
        </w:p>
        <w:p>
          <w:pPr>
            <w:pStyle w:val="76"/>
          </w:pPr>
          <w:sdt>
            <w:sdtPr>
              <w:rPr>
                <w:rFonts w:hint="eastAsia"/>
                <w:szCs w:val="21"/>
              </w:rPr>
              <w:alias w:val="是否适用：重要的账龄超过1年的应收股利[双击切换]"/>
              <w:tag w:val="_GBC_9aa7ef4a3c0c40638901a5b7f6224231"/>
              <w:id w:val="25154600"/>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szCs w:val="21"/>
        </w:rPr>
        <w:alias w:val="模块:应收股利的说明"/>
        <w:tag w:val="_GBC_3543035ac1594f0aaa966ebb907a6f0d"/>
        <w:id w:val="25154603"/>
        <w:lock w:val="sdtLocked"/>
        <w:placeholder>
          <w:docPart w:val="GBC22222222222222222222222222222"/>
        </w:placeholder>
      </w:sdtPr>
      <w:sdtEndPr>
        <w:rPr>
          <w:rFonts w:hint="default"/>
          <w:szCs w:val="21"/>
        </w:rPr>
      </w:sdtEndPr>
      <w:sdtContent>
        <w:p>
          <w:pPr>
            <w:pStyle w:val="76"/>
            <w:rPr>
              <w:szCs w:val="21"/>
            </w:rPr>
          </w:pPr>
          <w:r>
            <w:rPr>
              <w:rFonts w:hint="eastAsia"/>
              <w:szCs w:val="21"/>
            </w:rPr>
            <w:t>其他说明：</w:t>
          </w:r>
        </w:p>
        <w:sdt>
          <w:sdtPr>
            <w:rPr>
              <w:szCs w:val="21"/>
            </w:rPr>
            <w:alias w:val="是否适用：应收股利的说明[双击切换]"/>
            <w:tag w:val="_GBC_108dd924d7ca4fa78961046db5cd354e"/>
            <w:id w:val="25154602"/>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snapToGrid w:val="0"/>
        <w:spacing w:line="240" w:lineRule="atLeast"/>
        <w:ind w:right="25" w:rightChars="12"/>
        <w:rPr>
          <w:color w:val="FF0000"/>
          <w:szCs w:val="21"/>
        </w:rPr>
      </w:pPr>
    </w:p>
    <w:p>
      <w:pPr>
        <w:pStyle w:val="79"/>
        <w:numPr>
          <w:ilvl w:val="0"/>
          <w:numId w:val="46"/>
        </w:numPr>
      </w:pPr>
      <w:r>
        <w:rPr>
          <w:rFonts w:hint="eastAsia"/>
        </w:rPr>
        <w:t>其他应收款</w:t>
      </w:r>
    </w:p>
    <w:sdt>
      <w:sdtPr>
        <w:rPr>
          <w:rFonts w:hint="eastAsia" w:ascii="Times New Roman" w:hAnsi="Times New Roman" w:cs="宋体"/>
          <w:b w:val="0"/>
          <w:bCs w:val="0"/>
          <w:kern w:val="0"/>
          <w:szCs w:val="24"/>
        </w:rPr>
        <w:alias w:val="模块:其他应收款分类披露"/>
        <w:tag w:val="_GBC_04959ddfe8f2409b992ddf054b66f900"/>
        <w:id w:val="25154628"/>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3"/>
              <w:numId w:val="52"/>
            </w:numPr>
            <w:tabs>
              <w:tab w:val="left" w:pos="588"/>
            </w:tabs>
          </w:pPr>
          <w:r>
            <w:rPr>
              <w:rFonts w:hint="eastAsia"/>
            </w:rPr>
            <w:t>其他应收款分类披露</w:t>
          </w:r>
        </w:p>
        <w:sdt>
          <w:sdtPr>
            <w:alias w:val="是否适用：其他应收款分类披露[双击切换]"/>
            <w:tag w:val="_GBC_9eef10db3ef84b04bfc3c604cff35853"/>
            <w:id w:val="2515460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autoSpaceDE w:val="0"/>
            <w:autoSpaceDN w:val="0"/>
            <w:adjustRightInd w:val="0"/>
            <w:ind w:right="105" w:rightChars="50"/>
            <w:jc w:val="right"/>
            <w:rPr>
              <w:szCs w:val="21"/>
            </w:rPr>
          </w:pPr>
          <w:r>
            <w:rPr>
              <w:rFonts w:hint="eastAsia"/>
              <w:szCs w:val="21"/>
            </w:rPr>
            <w:t>单位：</w:t>
          </w:r>
          <w:sdt>
            <w:sdtPr>
              <w:rPr>
                <w:rFonts w:hint="eastAsia"/>
                <w:szCs w:val="21"/>
              </w:rPr>
              <w:alias w:val="单位：其他应收账款按种类披露"/>
              <w:tag w:val="_GBC_afd3ba0031464d90b1c227e7d9f86bb2"/>
              <w:id w:val="25154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251546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10348"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561"/>
            <w:gridCol w:w="1132"/>
            <w:gridCol w:w="426"/>
            <w:gridCol w:w="991"/>
            <w:gridCol w:w="708"/>
            <w:gridCol w:w="1136"/>
            <w:gridCol w:w="1134"/>
            <w:gridCol w:w="433"/>
            <w:gridCol w:w="995"/>
            <w:gridCol w:w="71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83" w:hRule="atLeast"/>
            </w:trPr>
            <w:sdt>
              <w:sdtPr>
                <w:rPr>
                  <w:sz w:val="18"/>
                  <w:szCs w:val="18"/>
                </w:rPr>
                <w:tag w:val="_PLD_4aadb8829ea045068ecfd01067822c52"/>
                <w:id w:val="25154607"/>
                <w:lock w:val="sdtLocked"/>
              </w:sdtPr>
              <w:sdtEndPr>
                <w:rPr>
                  <w:sz w:val="18"/>
                  <w:szCs w:val="18"/>
                </w:rPr>
              </w:sdtEndPr>
              <w:sdtContent>
                <w:tc>
                  <w:tcPr>
                    <w:tcW w:w="1561"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类别</w:t>
                    </w:r>
                  </w:p>
                </w:tc>
              </w:sdtContent>
            </w:sdt>
            <w:sdt>
              <w:sdtPr>
                <w:rPr>
                  <w:sz w:val="18"/>
                  <w:szCs w:val="18"/>
                </w:rPr>
                <w:tag w:val="_PLD_5a04976e0c3d4e79b74edbcc9f0179db"/>
                <w:id w:val="25154608"/>
                <w:lock w:val="sdtLocked"/>
              </w:sdtPr>
              <w:sdtEndPr>
                <w:rPr>
                  <w:sz w:val="18"/>
                  <w:szCs w:val="18"/>
                </w:rPr>
              </w:sdtEndPr>
              <w:sdtContent>
                <w:tc>
                  <w:tcPr>
                    <w:tcW w:w="4393" w:type="dxa"/>
                    <w:gridSpan w:val="5"/>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期末余额</w:t>
                    </w:r>
                  </w:p>
                </w:tc>
              </w:sdtContent>
            </w:sdt>
            <w:sdt>
              <w:sdtPr>
                <w:rPr>
                  <w:sz w:val="18"/>
                  <w:szCs w:val="18"/>
                </w:rPr>
                <w:tag w:val="_PLD_566fdaedfffc4490936caae2cc491d6b"/>
                <w:id w:val="25154609"/>
                <w:lock w:val="sdtLocked"/>
              </w:sdtPr>
              <w:sdtEndPr>
                <w:rPr>
                  <w:sz w:val="18"/>
                  <w:szCs w:val="18"/>
                </w:rPr>
              </w:sdtEndPr>
              <w:sdtContent>
                <w:tc>
                  <w:tcPr>
                    <w:tcW w:w="4394" w:type="dxa"/>
                    <w:gridSpan w:val="5"/>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50" w:hRule="atLeast"/>
            </w:trPr>
            <w:tc>
              <w:tcPr>
                <w:tcW w:w="1561" w:type="dxa"/>
                <w:vMerge w:val="continue"/>
                <w:tcBorders>
                  <w:left w:val="single" w:color="auto" w:sz="4" w:space="0"/>
                  <w:right w:val="single" w:color="auto" w:sz="4" w:space="0"/>
                </w:tcBorders>
                <w:vAlign w:val="center"/>
              </w:tcPr>
              <w:p>
                <w:pPr>
                  <w:pStyle w:val="76"/>
                  <w:rPr>
                    <w:sz w:val="18"/>
                    <w:szCs w:val="18"/>
                  </w:rPr>
                </w:pPr>
              </w:p>
            </w:tc>
            <w:sdt>
              <w:sdtPr>
                <w:rPr>
                  <w:sz w:val="18"/>
                  <w:szCs w:val="18"/>
                </w:rPr>
                <w:tag w:val="_PLD_5a4d46bb0f914013bc0e963d77e72b06"/>
                <w:id w:val="25154610"/>
                <w:lock w:val="sdtLocked"/>
              </w:sdtPr>
              <w:sdtEndPr>
                <w:rPr>
                  <w:sz w:val="18"/>
                  <w:szCs w:val="18"/>
                </w:rPr>
              </w:sdtEndPr>
              <w:sdtContent>
                <w:tc>
                  <w:tcPr>
                    <w:tcW w:w="1558"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a103cc01e2d1432ab155925e98e6b792"/>
                <w:id w:val="25154611"/>
                <w:lock w:val="sdtLocked"/>
              </w:sdtPr>
              <w:sdtEndPr>
                <w:rPr>
                  <w:sz w:val="18"/>
                  <w:szCs w:val="18"/>
                </w:rPr>
              </w:sdtEndPr>
              <w:sdtContent>
                <w:tc>
                  <w:tcPr>
                    <w:tcW w:w="1699"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sdt>
              <w:sdtPr>
                <w:rPr>
                  <w:sz w:val="18"/>
                  <w:szCs w:val="18"/>
                </w:rPr>
                <w:tag w:val="_PLD_4f0e8e2920a643f0868cf44ec5b2aebd"/>
                <w:id w:val="25154612"/>
                <w:lock w:val="sdtLocked"/>
              </w:sdtPr>
              <w:sdtEndPr>
                <w:rPr>
                  <w:sz w:val="18"/>
                  <w:szCs w:val="18"/>
                </w:rPr>
              </w:sdtEndPr>
              <w:sdtContent>
                <w:tc>
                  <w:tcPr>
                    <w:tcW w:w="1136"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w:t>
                    </w:r>
                  </w:p>
                  <w:p>
                    <w:pPr>
                      <w:pStyle w:val="76"/>
                      <w:jc w:val="center"/>
                      <w:rPr>
                        <w:sz w:val="18"/>
                        <w:szCs w:val="18"/>
                      </w:rPr>
                    </w:pPr>
                    <w:r>
                      <w:rPr>
                        <w:rFonts w:hint="eastAsia"/>
                        <w:sz w:val="18"/>
                        <w:szCs w:val="18"/>
                      </w:rPr>
                      <w:t>价值</w:t>
                    </w:r>
                  </w:p>
                </w:tc>
              </w:sdtContent>
            </w:sdt>
            <w:sdt>
              <w:sdtPr>
                <w:rPr>
                  <w:sz w:val="18"/>
                  <w:szCs w:val="18"/>
                </w:rPr>
                <w:tag w:val="_PLD_da39ab9d02cb4820b9a77c6673b85b8f"/>
                <w:id w:val="25154613"/>
                <w:lock w:val="sdtLocked"/>
              </w:sdtPr>
              <w:sdtEndPr>
                <w:rPr>
                  <w:sz w:val="18"/>
                  <w:szCs w:val="18"/>
                </w:rPr>
              </w:sdtEndPr>
              <w:sdtContent>
                <w:tc>
                  <w:tcPr>
                    <w:tcW w:w="1567" w:type="dxa"/>
                    <w:gridSpan w:val="2"/>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780e007d52a74f68b841ac58d9569d27"/>
                <w:id w:val="25154614"/>
                <w:lock w:val="sdtLocked"/>
              </w:sdtPr>
              <w:sdtEndPr>
                <w:rPr>
                  <w:sz w:val="18"/>
                  <w:szCs w:val="18"/>
                </w:rPr>
              </w:sdtEndPr>
              <w:sdtContent>
                <w:tc>
                  <w:tcPr>
                    <w:tcW w:w="1707" w:type="dxa"/>
                    <w:gridSpan w:val="2"/>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sdt>
              <w:sdtPr>
                <w:rPr>
                  <w:sz w:val="18"/>
                  <w:szCs w:val="18"/>
                </w:rPr>
                <w:tag w:val="_PLD_022ce2a67ddf4242881e5bea5c1d58a5"/>
                <w:id w:val="25154615"/>
                <w:lock w:val="sdtLocked"/>
              </w:sdtPr>
              <w:sdtEndPr>
                <w:rPr>
                  <w:sz w:val="18"/>
                  <w:szCs w:val="18"/>
                </w:rPr>
              </w:sdtEndPr>
              <w:sdtContent>
                <w:tc>
                  <w:tcPr>
                    <w:tcW w:w="1120"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账面</w:t>
                    </w:r>
                  </w:p>
                  <w:p>
                    <w:pPr>
                      <w:pStyle w:val="76"/>
                      <w:jc w:val="center"/>
                      <w:rPr>
                        <w:sz w:val="18"/>
                        <w:szCs w:val="18"/>
                      </w:rPr>
                    </w:pPr>
                    <w:r>
                      <w:rPr>
                        <w:rFonts w:hint="eastAsia"/>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35" w:hRule="atLeast"/>
            </w:trPr>
            <w:tc>
              <w:tcPr>
                <w:tcW w:w="1561" w:type="dxa"/>
                <w:vMerge w:val="continue"/>
                <w:tcBorders>
                  <w:left w:val="single" w:color="auto" w:sz="4" w:space="0"/>
                  <w:bottom w:val="single" w:color="auto" w:sz="4" w:space="0"/>
                  <w:right w:val="single" w:color="auto" w:sz="4" w:space="0"/>
                </w:tcBorders>
                <w:vAlign w:val="center"/>
              </w:tcPr>
              <w:p>
                <w:pPr>
                  <w:pStyle w:val="76"/>
                  <w:rPr>
                    <w:sz w:val="18"/>
                    <w:szCs w:val="18"/>
                  </w:rPr>
                </w:pPr>
              </w:p>
            </w:tc>
            <w:sdt>
              <w:sdtPr>
                <w:rPr>
                  <w:sz w:val="18"/>
                  <w:szCs w:val="18"/>
                </w:rPr>
                <w:tag w:val="_PLD_e6efa3ad1cb547a0acb12f4d5872ef76"/>
                <w:id w:val="25154616"/>
                <w:lock w:val="sdtLocked"/>
              </w:sdtPr>
              <w:sdtEndPr>
                <w:rPr>
                  <w:sz w:val="18"/>
                  <w:szCs w:val="18"/>
                </w:rPr>
              </w:sdtEndPr>
              <w:sdtContent>
                <w:tc>
                  <w:tcPr>
                    <w:tcW w:w="1132"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dd69ca302f704b228e4aa0aac97b0f6f"/>
                <w:id w:val="25154617"/>
                <w:lock w:val="sdtLocked"/>
              </w:sdtPr>
              <w:sdtEndPr>
                <w:rPr>
                  <w:sz w:val="18"/>
                  <w:szCs w:val="18"/>
                </w:rPr>
              </w:sdtEndPr>
              <w:sdtContent>
                <w:tc>
                  <w:tcPr>
                    <w:tcW w:w="426"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比例</w:t>
                    </w:r>
                    <w:r>
                      <w:rPr>
                        <w:sz w:val="18"/>
                        <w:szCs w:val="18"/>
                      </w:rPr>
                      <w:t>(%)</w:t>
                    </w:r>
                  </w:p>
                </w:tc>
              </w:sdtContent>
            </w:sdt>
            <w:sdt>
              <w:sdtPr>
                <w:rPr>
                  <w:sz w:val="18"/>
                  <w:szCs w:val="18"/>
                </w:rPr>
                <w:tag w:val="_PLD_e746b026cac0484081a1e105714564c5"/>
                <w:id w:val="25154618"/>
                <w:lock w:val="sdtLocked"/>
              </w:sdtPr>
              <w:sdtEndPr>
                <w:rPr>
                  <w:sz w:val="18"/>
                  <w:szCs w:val="18"/>
                </w:rPr>
              </w:sdtEndPr>
              <w:sdtContent>
                <w:tc>
                  <w:tcPr>
                    <w:tcW w:w="991"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65000791a97f464d818622751e7847af"/>
                <w:id w:val="25154619"/>
                <w:lock w:val="sdtLocked"/>
              </w:sdtPr>
              <w:sdtEndPr>
                <w:rPr>
                  <w:sz w:val="18"/>
                  <w:szCs w:val="18"/>
                </w:rPr>
              </w:sdtEndPr>
              <w:sdtContent>
                <w:tc>
                  <w:tcPr>
                    <w:tcW w:w="708"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计提比例</w:t>
                    </w:r>
                    <w:r>
                      <w:rPr>
                        <w:sz w:val="18"/>
                        <w:szCs w:val="18"/>
                      </w:rPr>
                      <w:t>(%)</w:t>
                    </w:r>
                  </w:p>
                </w:tc>
              </w:sdtContent>
            </w:sdt>
            <w:tc>
              <w:tcPr>
                <w:tcW w:w="1136" w:type="dxa"/>
                <w:vMerge w:val="continue"/>
                <w:tcBorders>
                  <w:left w:val="single" w:color="auto" w:sz="4" w:space="0"/>
                  <w:bottom w:val="single" w:color="auto" w:sz="4" w:space="0"/>
                  <w:right w:val="single" w:color="auto" w:sz="4" w:space="0"/>
                </w:tcBorders>
                <w:vAlign w:val="center"/>
              </w:tcPr>
              <w:p>
                <w:pPr>
                  <w:pStyle w:val="76"/>
                  <w:jc w:val="center"/>
                  <w:rPr>
                    <w:sz w:val="18"/>
                    <w:szCs w:val="18"/>
                  </w:rPr>
                </w:pPr>
              </w:p>
            </w:tc>
            <w:sdt>
              <w:sdtPr>
                <w:rPr>
                  <w:sz w:val="18"/>
                  <w:szCs w:val="18"/>
                </w:rPr>
                <w:tag w:val="_PLD_8b26747ed63b4c2c81abe7a4230bc051"/>
                <w:id w:val="25154620"/>
                <w:lock w:val="sdtLocked"/>
              </w:sdtPr>
              <w:sdtEndPr>
                <w:rPr>
                  <w:sz w:val="18"/>
                  <w:szCs w:val="18"/>
                </w:rPr>
              </w:sdtEndPr>
              <w:sdtContent>
                <w:tc>
                  <w:tcPr>
                    <w:tcW w:w="1134"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d5b711550a7c4b59a352cf6e1306fd6a"/>
                <w:id w:val="25154621"/>
                <w:lock w:val="sdtLocked"/>
              </w:sdtPr>
              <w:sdtEndPr>
                <w:rPr>
                  <w:sz w:val="18"/>
                  <w:szCs w:val="18"/>
                </w:rPr>
              </w:sdtEndPr>
              <w:sdtContent>
                <w:tc>
                  <w:tcPr>
                    <w:tcW w:w="433"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比例</w:t>
                    </w:r>
                    <w:r>
                      <w:rPr>
                        <w:sz w:val="18"/>
                        <w:szCs w:val="18"/>
                      </w:rPr>
                      <w:t>(%)</w:t>
                    </w:r>
                  </w:p>
                </w:tc>
              </w:sdtContent>
            </w:sdt>
            <w:sdt>
              <w:sdtPr>
                <w:rPr>
                  <w:sz w:val="18"/>
                  <w:szCs w:val="18"/>
                </w:rPr>
                <w:tag w:val="_PLD_66313245b5d64afc8c47d321b1b32b95"/>
                <w:id w:val="25154622"/>
                <w:lock w:val="sdtLocked"/>
              </w:sdtPr>
              <w:sdtEndPr>
                <w:rPr>
                  <w:sz w:val="18"/>
                  <w:szCs w:val="18"/>
                </w:rPr>
              </w:sdtEndPr>
              <w:sdtContent>
                <w:tc>
                  <w:tcPr>
                    <w:tcW w:w="995"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金额</w:t>
                    </w:r>
                  </w:p>
                </w:tc>
              </w:sdtContent>
            </w:sdt>
            <w:sdt>
              <w:sdtPr>
                <w:rPr>
                  <w:sz w:val="18"/>
                  <w:szCs w:val="18"/>
                </w:rPr>
                <w:tag w:val="_PLD_23f0b49265e548768c21fc2fe5a63ec5"/>
                <w:id w:val="25154623"/>
                <w:lock w:val="sdtLocked"/>
              </w:sdtPr>
              <w:sdtEndPr>
                <w:rPr>
                  <w:sz w:val="18"/>
                  <w:szCs w:val="18"/>
                </w:rPr>
              </w:sdtEndPr>
              <w:sdtContent>
                <w:tc>
                  <w:tcPr>
                    <w:tcW w:w="712" w:type="dxa"/>
                    <w:tcBorders>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计提比例</w:t>
                    </w:r>
                    <w:r>
                      <w:rPr>
                        <w:sz w:val="18"/>
                        <w:szCs w:val="18"/>
                      </w:rPr>
                      <w:t>(%)</w:t>
                    </w:r>
                  </w:p>
                </w:tc>
              </w:sdtContent>
            </w:sdt>
            <w:tc>
              <w:tcPr>
                <w:tcW w:w="1120" w:type="dxa"/>
                <w:vMerge w:val="continue"/>
                <w:tcBorders>
                  <w:left w:val="single" w:color="auto" w:sz="4" w:space="0"/>
                  <w:bottom w:val="single" w:color="auto" w:sz="4" w:space="0"/>
                  <w:right w:val="single" w:color="auto" w:sz="4" w:space="0"/>
                </w:tcBorders>
              </w:tcPr>
              <w:p>
                <w:pPr>
                  <w:pStyle w:val="76"/>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44254c6f21894a83b1000d08e334c089"/>
                <w:id w:val="25154624"/>
                <w:lock w:val="sdtLocked"/>
              </w:sdtPr>
              <w:sdtEndPr>
                <w:rPr>
                  <w:sz w:val="18"/>
                  <w:szCs w:val="18"/>
                </w:rPr>
              </w:sdtEndPr>
              <w:sdtContent>
                <w:tc>
                  <w:tcPr>
                    <w:tcW w:w="156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单项金额重大并单独计提坏账准备的其他应收款</w:t>
                    </w:r>
                  </w:p>
                </w:tc>
              </w:sdtContent>
            </w:sdt>
            <w:tc>
              <w:tcPr>
                <w:tcW w:w="113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4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2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9c243a27910c4a459239a7a1cc913444"/>
                <w:id w:val="25154625"/>
                <w:lock w:val="sdtLocked"/>
              </w:sdtPr>
              <w:sdtEndPr>
                <w:rPr>
                  <w:sz w:val="18"/>
                  <w:szCs w:val="18"/>
                </w:rPr>
              </w:sdtEndPr>
              <w:sdtContent>
                <w:tc>
                  <w:tcPr>
                    <w:tcW w:w="156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按信用风险特征组合计提坏账准备的其他应收款</w:t>
                    </w:r>
                  </w:p>
                </w:tc>
              </w:sdtContent>
            </w:sdt>
            <w:tc>
              <w:tcPr>
                <w:tcW w:w="113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24,302,679.67</w:t>
                </w:r>
              </w:p>
            </w:tc>
            <w:tc>
              <w:tcPr>
                <w:tcW w:w="42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w:t>
                </w:r>
              </w:p>
            </w:tc>
            <w:tc>
              <w:tcPr>
                <w:tcW w:w="991"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6,314,537.40</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25.98</w:t>
                </w:r>
              </w:p>
            </w:tc>
            <w:tc>
              <w:tcPr>
                <w:tcW w:w="113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17,988,142.27</w:t>
                </w:r>
              </w:p>
            </w:tc>
            <w:tc>
              <w:tcPr>
                <w:tcW w:w="113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16,728,633.00</w:t>
                </w:r>
              </w:p>
            </w:tc>
            <w:tc>
              <w:tcPr>
                <w:tcW w:w="4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w:t>
                </w:r>
              </w:p>
            </w:tc>
            <w:tc>
              <w:tcPr>
                <w:tcW w:w="99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6,314,537.40</w:t>
                </w:r>
              </w:p>
            </w:tc>
            <w:tc>
              <w:tcPr>
                <w:tcW w:w="71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37.75</w:t>
                </w:r>
              </w:p>
            </w:tc>
            <w:tc>
              <w:tcPr>
                <w:tcW w:w="112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10,414,095.60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9c2596935ec64c6f8f18589913610c9f"/>
                <w:id w:val="25154626"/>
                <w:lock w:val="sdtLocked"/>
              </w:sdtPr>
              <w:sdtEndPr>
                <w:rPr>
                  <w:sz w:val="18"/>
                  <w:szCs w:val="18"/>
                </w:rPr>
              </w:sdtEndPr>
              <w:sdtContent>
                <w:tc>
                  <w:tcPr>
                    <w:tcW w:w="156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单项金额不重大但单独计提坏账准备的其他应收款</w:t>
                    </w:r>
                  </w:p>
                </w:tc>
              </w:sdtContent>
            </w:sdt>
            <w:tc>
              <w:tcPr>
                <w:tcW w:w="113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4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12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54f8c094a96b45baa4c942e1eccc1ed4"/>
                <w:id w:val="25154627"/>
                <w:lock w:val="sdtLocked"/>
              </w:sdtPr>
              <w:sdtEndPr>
                <w:rPr>
                  <w:sz w:val="18"/>
                  <w:szCs w:val="18"/>
                </w:rPr>
              </w:sdtEndPr>
              <w:sdtContent>
                <w:tc>
                  <w:tcPr>
                    <w:tcW w:w="156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合计</w:t>
                    </w:r>
                  </w:p>
                </w:tc>
              </w:sdtContent>
            </w:sdt>
            <w:tc>
              <w:tcPr>
                <w:tcW w:w="113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24,302,679.67</w:t>
                </w:r>
              </w:p>
            </w:tc>
            <w:tc>
              <w:tcPr>
                <w:tcW w:w="42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100</w:t>
                </w:r>
              </w:p>
            </w:tc>
            <w:tc>
              <w:tcPr>
                <w:tcW w:w="991"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6,314,537.40</w:t>
                </w:r>
              </w:p>
            </w:tc>
            <w:tc>
              <w:tcPr>
                <w:tcW w:w="708"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25.98</w:t>
                </w:r>
              </w:p>
            </w:tc>
            <w:tc>
              <w:tcPr>
                <w:tcW w:w="1136"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17,988,142.27</w:t>
                </w:r>
              </w:p>
            </w:tc>
            <w:tc>
              <w:tcPr>
                <w:tcW w:w="113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16,728,633.00</w:t>
                </w:r>
              </w:p>
            </w:tc>
            <w:tc>
              <w:tcPr>
                <w:tcW w:w="433"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 </w:t>
                </w:r>
              </w:p>
            </w:tc>
            <w:tc>
              <w:tcPr>
                <w:tcW w:w="99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6,314,537.40</w:t>
                </w:r>
              </w:p>
            </w:tc>
            <w:tc>
              <w:tcPr>
                <w:tcW w:w="71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 </w:t>
                </w:r>
              </w:p>
            </w:tc>
            <w:tc>
              <w:tcPr>
                <w:tcW w:w="112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10,414,095.60</w:t>
                </w:r>
              </w:p>
            </w:tc>
          </w:tr>
        </w:tbl>
        <w:p>
          <w:pPr>
            <w:pStyle w:val="76"/>
          </w:pPr>
        </w:p>
      </w:sdtContent>
    </w:sdt>
    <w:p>
      <w:pPr>
        <w:pStyle w:val="76"/>
      </w:pPr>
    </w:p>
    <w:sdt>
      <w:sdtPr>
        <w:rPr>
          <w:rFonts w:hint="eastAsia"/>
          <w:szCs w:val="21"/>
        </w:rPr>
        <w:alias w:val="模块:单项金额重大并单项计提坏帐准备的其他应收账款　　　　　　　..."/>
        <w:tag w:val="_GBC_02bfd67b9c40435982984fdd2fa0417b"/>
        <w:id w:val="25154630"/>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25154629"/>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按账龄分析法计提坏账准备的其他应收账款："/>
        <w:tag w:val="_GBC_84907f0c47bb4c62b91a81382adfc126"/>
        <w:id w:val="25154649"/>
        <w:lock w:val="sdtLocked"/>
        <w:placeholder>
          <w:docPart w:val="GBC22222222222222222222222222222"/>
        </w:placeholder>
      </w:sdtPr>
      <w:sdtEndPr>
        <w:rPr>
          <w:rFonts w:hint="default"/>
          <w:szCs w:val="21"/>
        </w:rPr>
      </w:sdtEndPr>
      <w:sdtContent>
        <w:p>
          <w:pPr>
            <w:pStyle w:val="76"/>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2515463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25154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251546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441"/>
            <w:gridCol w:w="2135"/>
            <w:gridCol w:w="2131"/>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b1f514cee6e462fb96436d12369ecac"/>
                <w:id w:val="25154634"/>
                <w:lock w:val="sdtLocked"/>
              </w:sdtPr>
              <w:sdtContent>
                <w:tc>
                  <w:tcPr>
                    <w:tcW w:w="2441"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p>
                  <w:p>
                    <w:pPr>
                      <w:pStyle w:val="76"/>
                      <w:jc w:val="center"/>
                      <w:rPr>
                        <w:szCs w:val="21"/>
                      </w:rPr>
                    </w:pPr>
                    <w:r>
                      <w:rPr>
                        <w:rFonts w:hint="eastAsia"/>
                        <w:szCs w:val="21"/>
                      </w:rPr>
                      <w:t>账龄</w:t>
                    </w:r>
                  </w:p>
                </w:tc>
              </w:sdtContent>
            </w:sdt>
            <w:sdt>
              <w:sdtPr>
                <w:tag w:val="_PLD_dec5ca2f5c434d8c95d5ed7816431f38"/>
                <w:id w:val="25154635"/>
                <w:lock w:val="sdtLocked"/>
              </w:sdtPr>
              <w:sdtContent>
                <w:tc>
                  <w:tcPr>
                    <w:tcW w:w="6454" w:type="dxa"/>
                    <w:gridSpan w:val="3"/>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441" w:type="dxa"/>
                <w:vMerge w:val="continue"/>
                <w:tcBorders>
                  <w:top w:val="single" w:color="auto" w:sz="4" w:space="0"/>
                  <w:left w:val="single" w:color="auto" w:sz="4" w:space="0"/>
                  <w:bottom w:val="single" w:color="auto" w:sz="4" w:space="0"/>
                  <w:right w:val="single" w:color="auto" w:sz="4" w:space="0"/>
                </w:tcBorders>
                <w:vAlign w:val="center"/>
              </w:tcPr>
              <w:p>
                <w:pPr>
                  <w:pStyle w:val="76"/>
                  <w:rPr>
                    <w:szCs w:val="21"/>
                  </w:rPr>
                </w:pPr>
              </w:p>
            </w:tc>
            <w:sdt>
              <w:sdtPr>
                <w:tag w:val="_PLD_6363ea29e1114f898cb49d0d298f5689"/>
                <w:id w:val="25154636"/>
                <w:lock w:val="sdtLocked"/>
              </w:sdtPr>
              <w:sdtContent>
                <w:tc>
                  <w:tcPr>
                    <w:tcW w:w="2135"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其他应收款</w:t>
                    </w:r>
                  </w:p>
                </w:tc>
              </w:sdtContent>
            </w:sdt>
            <w:sdt>
              <w:sdtPr>
                <w:tag w:val="_PLD_0f98482197ff40d787704ec023ec8259"/>
                <w:id w:val="25154637"/>
                <w:lock w:val="sdtLocked"/>
              </w:sdtPr>
              <w:sdtContent>
                <w:tc>
                  <w:tcPr>
                    <w:tcW w:w="2131"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坏账准备</w:t>
                    </w:r>
                  </w:p>
                </w:tc>
              </w:sdtContent>
            </w:sdt>
            <w:sdt>
              <w:sdtPr>
                <w:tag w:val="_PLD_35712d94b4c04b3aafbf8b7c8de71ea4"/>
                <w:id w:val="25154638"/>
                <w:lock w:val="sdtLocked"/>
              </w:sdtPr>
              <w:sdtContent>
                <w:tc>
                  <w:tcPr>
                    <w:tcW w:w="2188"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cc59d5866ad4630ba4ad99804ac9f4c"/>
                <w:id w:val="25154639"/>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1年以内</w:t>
                    </w:r>
                  </w:p>
                </w:tc>
              </w:sdtContent>
            </w:sdt>
            <w:tc>
              <w:tcPr>
                <w:tcW w:w="2135" w:type="dxa"/>
                <w:tcBorders>
                  <w:top w:val="single" w:color="auto" w:sz="4" w:space="0"/>
                  <w:left w:val="single" w:color="auto" w:sz="4" w:space="0"/>
                  <w:bottom w:val="single" w:color="auto" w:sz="4" w:space="0"/>
                  <w:right w:val="single" w:color="auto" w:sz="4" w:space="0"/>
                </w:tcBorders>
                <w:vAlign w:val="center"/>
              </w:tcPr>
              <w:p>
                <w:pPr>
                  <w:pStyle w:val="76"/>
                  <w:jc w:val="right"/>
                  <w:rPr>
                    <w:color w:val="FF0000"/>
                    <w:szCs w:val="21"/>
                  </w:rPr>
                </w:pPr>
                <w:r>
                  <w:t>17,331,104.24</w:t>
                </w:r>
              </w:p>
            </w:tc>
            <w:tc>
              <w:tcPr>
                <w:tcW w:w="2131" w:type="dxa"/>
                <w:tcBorders>
                  <w:top w:val="single" w:color="auto" w:sz="4" w:space="0"/>
                  <w:left w:val="single" w:color="auto" w:sz="4" w:space="0"/>
                  <w:bottom w:val="single" w:color="auto" w:sz="4" w:space="0"/>
                  <w:right w:val="single" w:color="auto" w:sz="4" w:space="0"/>
                </w:tcBorders>
                <w:vAlign w:val="center"/>
              </w:tcPr>
              <w:p>
                <w:pPr>
                  <w:pStyle w:val="76"/>
                  <w:jc w:val="right"/>
                  <w:rPr>
                    <w:color w:val="FF0000"/>
                    <w:szCs w:val="21"/>
                  </w:rPr>
                </w:pPr>
                <w:r>
                  <w:t>292,144.30</w:t>
                </w:r>
              </w:p>
            </w:tc>
            <w:tc>
              <w:tcPr>
                <w:tcW w:w="2188" w:type="dxa"/>
                <w:tcBorders>
                  <w:top w:val="single" w:color="auto" w:sz="4" w:space="0"/>
                  <w:left w:val="single" w:color="auto" w:sz="4" w:space="0"/>
                  <w:bottom w:val="single" w:color="auto" w:sz="4" w:space="0"/>
                  <w:right w:val="single" w:color="auto" w:sz="4" w:space="0"/>
                </w:tcBorders>
                <w:vAlign w:val="center"/>
              </w:tcPr>
              <w:p>
                <w:pPr>
                  <w:pStyle w:val="76"/>
                  <w:jc w:val="right"/>
                  <w:rPr>
                    <w:color w:val="FF0000"/>
                    <w:szCs w:val="21"/>
                  </w:rPr>
                </w:pPr>
                <w: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c99e186ace65470ab0be1709d627ad2e"/>
                <w:id w:val="25154640"/>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其中：1年以内分项</w:t>
                    </w:r>
                  </w:p>
                </w:tc>
              </w:sdtContent>
            </w:sdt>
            <w:tc>
              <w:tcPr>
                <w:tcW w:w="2135"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17,331,104.24</w:t>
                </w:r>
              </w:p>
            </w:tc>
            <w:tc>
              <w:tcPr>
                <w:tcW w:w="2131"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292,144.30</w:t>
                </w:r>
              </w:p>
            </w:tc>
            <w:tc>
              <w:tcPr>
                <w:tcW w:w="2188"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1d1b19b04a6148a9847cca431947224e"/>
                <w:id w:val="25154641"/>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1年以内小计</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17,331,104.24</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292,144.30</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40936c3836646bf8ea3ac0ffe04b163"/>
                <w:id w:val="25154642"/>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1至2年</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17,706.96</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1,153.569</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ffe840b49764eda927c8ddd3a7475ca"/>
                <w:id w:val="25154643"/>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2至3年</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914,021.66</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106,093.801</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fdeab3819ff49a4b00ba25e2580b3e9"/>
                <w:id w:val="25154644"/>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3至4年</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226,702.32</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102,001.24</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44.99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6fed17e764b4ea69fac372eb5591191"/>
                <w:id w:val="25154645"/>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4至5年</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fffb90121084cb995c035c4180b3c14"/>
                <w:id w:val="25154646"/>
                <w:lock w:val="sdtLocked"/>
              </w:sdtPr>
              <w:sdtContent>
                <w:tc>
                  <w:tcPr>
                    <w:tcW w:w="244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5年以上</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5,813,144.49</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5,813,144.49</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6bebda576e84467b709bbf8acbf1200"/>
                <w:id w:val="25154647"/>
                <w:lock w:val="sdtLocked"/>
              </w:sdtPr>
              <w:sdtContent>
                <w:tc>
                  <w:tcPr>
                    <w:tcW w:w="2441"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合计</w:t>
                    </w:r>
                  </w:p>
                </w:tc>
              </w:sdtContent>
            </w:sdt>
            <w:tc>
              <w:tcPr>
                <w:tcW w:w="2135" w:type="dxa"/>
                <w:tcBorders>
                  <w:top w:val="single" w:color="auto" w:sz="4" w:space="0"/>
                  <w:left w:val="single" w:color="auto" w:sz="4" w:space="0"/>
                  <w:bottom w:val="single" w:color="auto" w:sz="4" w:space="0"/>
                  <w:right w:val="single" w:color="auto" w:sz="4" w:space="0"/>
                </w:tcBorders>
              </w:tcPr>
              <w:p>
                <w:pPr>
                  <w:pStyle w:val="76"/>
                  <w:jc w:val="right"/>
                  <w:rPr>
                    <w:szCs w:val="21"/>
                  </w:rPr>
                </w:pPr>
                <w:r>
                  <w:t>24,302,679.67</w:t>
                </w:r>
              </w:p>
            </w:tc>
            <w:tc>
              <w:tcPr>
                <w:tcW w:w="2131" w:type="dxa"/>
                <w:tcBorders>
                  <w:top w:val="single" w:color="auto" w:sz="4" w:space="0"/>
                  <w:left w:val="single" w:color="auto" w:sz="4" w:space="0"/>
                  <w:bottom w:val="single" w:color="auto" w:sz="4" w:space="0"/>
                  <w:right w:val="single" w:color="auto" w:sz="4" w:space="0"/>
                </w:tcBorders>
              </w:tcPr>
              <w:p>
                <w:pPr>
                  <w:pStyle w:val="76"/>
                  <w:jc w:val="right"/>
                  <w:rPr>
                    <w:szCs w:val="21"/>
                  </w:rPr>
                </w:pPr>
                <w:r>
                  <w:t>6,314,537.40</w:t>
                </w:r>
              </w:p>
            </w:tc>
            <w:tc>
              <w:tcPr>
                <w:tcW w:w="2188" w:type="dxa"/>
                <w:tcBorders>
                  <w:top w:val="single" w:color="auto" w:sz="4" w:space="0"/>
                  <w:left w:val="single" w:color="auto" w:sz="4" w:space="0"/>
                  <w:bottom w:val="single" w:color="auto" w:sz="4" w:space="0"/>
                  <w:right w:val="single" w:color="auto" w:sz="4" w:space="0"/>
                </w:tcBorders>
              </w:tcPr>
              <w:p>
                <w:pPr>
                  <w:pStyle w:val="76"/>
                  <w:jc w:val="right"/>
                  <w:rPr>
                    <w:szCs w:val="21"/>
                  </w:rPr>
                </w:pPr>
                <w:r>
                  <w:t>25.98</w:t>
                </w:r>
              </w:p>
            </w:tc>
          </w:tr>
        </w:tbl>
        <w:p>
          <w:pPr>
            <w:pStyle w:val="76"/>
          </w:pPr>
        </w:p>
        <w:p>
          <w:pPr>
            <w:pStyle w:val="76"/>
          </w:pPr>
          <w:r>
            <w:rPr>
              <w:rFonts w:hint="eastAsia"/>
            </w:rPr>
            <w:t>确定该组合依据的</w:t>
          </w:r>
          <w:r>
            <w:t>说明：</w:t>
          </w:r>
        </w:p>
        <w:sdt>
          <w:sdtPr>
            <w:alias w:val="按账龄分析法计提坏账准备的其他应收款确定该组合依据的说明"/>
            <w:tag w:val="_GBC_39a41df1363d497d856704c723389a11"/>
            <w:id w:val="25154648"/>
            <w:lock w:val="sdtLocked"/>
            <w:placeholder>
              <w:docPart w:val="GBC22222222222222222222222222222"/>
            </w:placeholder>
          </w:sdtPr>
          <w:sdtContent>
            <w:p>
              <w:pPr>
                <w:pStyle w:val="76"/>
              </w:pPr>
              <w:r>
                <w:rPr>
                  <w:rFonts w:hint="eastAsia"/>
                </w:rPr>
                <w:t>采用账龄分析法计提坏账准备主要是基于相同账龄具有相类似信用风险假设。</w:t>
              </w:r>
            </w:p>
          </w:sdtContent>
        </w:sdt>
        <w:p>
          <w:pPr>
            <w:pStyle w:val="76"/>
            <w:rPr>
              <w:szCs w:val="21"/>
            </w:rPr>
          </w:pPr>
        </w:p>
      </w:sdtContent>
    </w:sdt>
    <w:sdt>
      <w:sdtPr>
        <w:rPr>
          <w:rFonts w:hint="eastAsia"/>
          <w:szCs w:val="21"/>
        </w:rPr>
        <w:alias w:val="模块:组合中，采用余额百分比法计提坏账准备的其他应收账款"/>
        <w:tag w:val="_GBC_c96864c1bf234335ab3e76f7808693e0"/>
        <w:id w:val="25154651"/>
        <w:lock w:val="sdtLocked"/>
        <w:placeholder>
          <w:docPart w:val="GBC22222222222222222222222222222"/>
        </w:placeholder>
      </w:sdtPr>
      <w:sdtEndPr>
        <w:rPr>
          <w:rFonts w:hint="eastAsia"/>
          <w:szCs w:val="21"/>
        </w:rPr>
      </w:sdtEndPr>
      <w:sdtContent>
        <w:p>
          <w:pPr>
            <w:pStyle w:val="76"/>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4436f73691ff4e638217456948bd36b1"/>
            <w:id w:val="25154650"/>
            <w:lock w:val="sdtContentLocked"/>
            <w:placeholder>
              <w:docPart w:val="GBC22222222222222222222222222222"/>
            </w:placeholder>
          </w:sdtPr>
          <w:sdtEndPr>
            <w:rPr>
              <w:rFonts w:hint="eastAsia"/>
              <w:szCs w:val="21"/>
            </w:rPr>
          </w:sdtEndPr>
          <w:sdtContent>
            <w:p>
              <w:pPr>
                <w:pStyle w:val="76"/>
                <w:tabs>
                  <w:tab w:val="left" w:pos="9720"/>
                </w:tabs>
                <w:ind w:right="-1413" w:rightChars="-673"/>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pPr>
        </w:p>
        <w:p>
          <w:pPr>
            <w:pStyle w:val="76"/>
            <w:rPr>
              <w:szCs w:val="21"/>
            </w:rPr>
          </w:pPr>
        </w:p>
      </w:sdtContent>
    </w:sdt>
    <w:sdt>
      <w:sdtPr>
        <w:rPr>
          <w:rFonts w:hint="eastAsia"/>
          <w:szCs w:val="21"/>
        </w:rPr>
        <w:alias w:val="模块:组合中，采用其他方法计提坏账准备的其他应收账款"/>
        <w:tag w:val="_GBC_fd6f0f4955e049a0964b757a0033548f"/>
        <w:id w:val="25154653"/>
        <w:lock w:val="sdtLocked"/>
        <w:placeholder>
          <w:docPart w:val="GBC22222222222222222222222222222"/>
        </w:placeholder>
      </w:sdtPr>
      <w:sdtEndPr>
        <w:rPr>
          <w:rFonts w:hint="eastAsia"/>
          <w:szCs w:val="21"/>
        </w:rPr>
      </w:sdtEndPr>
      <w:sdtContent>
        <w:p>
          <w:pPr>
            <w:pStyle w:val="76"/>
            <w:tabs>
              <w:tab w:val="left" w:pos="360"/>
              <w:tab w:val="left" w:pos="9720"/>
            </w:tabs>
            <w:ind w:right="-1413" w:rightChars="-67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138ebdc0bc974bccb06cf8eeb991b924"/>
            <w:id w:val="25154652"/>
            <w:lock w:val="sdtContentLocked"/>
            <w:placeholder>
              <w:docPart w:val="GBC22222222222222222222222222222"/>
            </w:placeholder>
          </w:sdtPr>
          <w:sdtEndPr>
            <w:rPr>
              <w:szCs w:val="21"/>
            </w:rPr>
          </w:sdtEndPr>
          <w:sdtContent>
            <w:p>
              <w:pPr>
                <w:pStyle w:val="76"/>
                <w:tabs>
                  <w:tab w:val="left" w:pos="360"/>
                  <w:tab w:val="left" w:pos="9720"/>
                </w:tabs>
                <w:ind w:right="-1413" w:rightChars="-673"/>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sdt>
      <w:sdtPr>
        <w:rPr>
          <w:rFonts w:ascii="宋体" w:hAnsi="宋体" w:cs="宋体"/>
          <w:b w:val="0"/>
          <w:bCs w:val="0"/>
          <w:kern w:val="0"/>
          <w:szCs w:val="24"/>
        </w:rPr>
        <w:alias w:val="模块:本期转回或收回情况"/>
        <w:tag w:val="_GBC_32c2bb2bc37a4c2d80b96acc31ad8815"/>
        <w:id w:val="25154657"/>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52"/>
            </w:numPr>
            <w:tabs>
              <w:tab w:val="left" w:pos="588"/>
            </w:tabs>
          </w:pPr>
          <w:r>
            <w:rPr>
              <w:rFonts w:hint="eastAsia"/>
            </w:rPr>
            <w:t>本期计提、收回或转回的坏账准备情况：</w:t>
          </w:r>
        </w:p>
        <w:p>
          <w:pPr>
            <w:pStyle w:val="76"/>
          </w:pPr>
          <w:r>
            <w:rPr>
              <w:rFonts w:hint="eastAsia"/>
            </w:rPr>
            <w:t>本期计提坏账准备金额</w:t>
          </w:r>
          <w:sdt>
            <w:sdtPr>
              <w:rPr>
                <w:rFonts w:hint="eastAsia"/>
              </w:rPr>
              <w:alias w:val="其他应收款计提坏账准备金额"/>
              <w:tag w:val="_GBC_a70fef6565304a99953df2f294ca627f"/>
              <w:id w:val="25154654"/>
              <w:lock w:val="sdtLocked"/>
              <w:placeholder>
                <w:docPart w:val="GBC22222222222222222222222222222"/>
              </w:placeholder>
            </w:sdtPr>
            <w:sdtEndPr>
              <w:rPr>
                <w:rFonts w:hint="eastAsia"/>
              </w:rPr>
            </w:sdtEndPr>
            <w:sdtContent>
              <w:r>
                <w:rPr>
                  <w:rFonts w:hint="eastAsia"/>
                </w:rPr>
                <w:t>0</w:t>
              </w:r>
            </w:sdtContent>
          </w:sdt>
          <w:r>
            <w:t>元；本期收回或转回坏账准备金额</w:t>
          </w:r>
          <w:sdt>
            <w:sdtPr>
              <w:alias w:val="其他应收款收回或转回坏账准备金额"/>
              <w:tag w:val="_GBC_b1df06373aeb456cad02364dcd8fb271"/>
              <w:id w:val="25154655"/>
              <w:lock w:val="sdtLocked"/>
              <w:placeholder>
                <w:docPart w:val="GBC22222222222222222222222222222"/>
              </w:placeholder>
            </w:sdtPr>
            <w:sdtContent>
              <w:r>
                <w:rPr>
                  <w:rFonts w:hint="eastAsia"/>
                </w:rPr>
                <w:t>0</w:t>
              </w:r>
            </w:sdtContent>
          </w:sdt>
          <w:r>
            <w:t>元。</w:t>
          </w:r>
        </w:p>
        <w:p>
          <w:pPr>
            <w:pStyle w:val="76"/>
          </w:pPr>
          <w:r>
            <w:rPr>
              <w:rFonts w:hint="eastAsia"/>
            </w:rPr>
            <w:t>其中本期坏账准备转回或收回金额重要的：</w:t>
          </w:r>
        </w:p>
        <w:sdt>
          <w:sdtPr>
            <w:alias w:val="是否适用：其中本期其他应收账款坏账准备收回或转回金额重要的[双击切换]"/>
            <w:tag w:val="_GBC_49a9a7800fbb48e2b9da3343cf6d782d"/>
            <w:id w:val="25154656"/>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cs="宋体" w:asciiTheme="minorHAnsi" w:hAnsiTheme="minorHAnsi"/>
          <w:b w:val="0"/>
          <w:bCs w:val="0"/>
          <w:kern w:val="0"/>
          <w:szCs w:val="22"/>
        </w:rPr>
        <w:alias w:val="模块:本报告期实际核销的其他应收款情况"/>
        <w:tag w:val="_GBC_ca12851378c64f09a5335b8a527df46f"/>
        <w:id w:val="25154659"/>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80"/>
            <w:numPr>
              <w:ilvl w:val="3"/>
              <w:numId w:val="52"/>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2515465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p>
          <w:pPr>
            <w:pStyle w:val="76"/>
          </w:pPr>
        </w:p>
      </w:sdtContent>
    </w:sdt>
    <w:sdt>
      <w:sdtPr>
        <w:rPr>
          <w:rFonts w:hint="eastAsia" w:ascii="宋体" w:hAnsi="宋体" w:cs="宋体"/>
          <w:b w:val="0"/>
          <w:bCs w:val="0"/>
          <w:kern w:val="0"/>
          <w:szCs w:val="24"/>
        </w:rPr>
        <w:alias w:val="模块:其他应收款按款项性质分类情况"/>
        <w:tag w:val="_GBC_84d520d656b8446b87c909f5ff2b545d"/>
        <w:id w:val="25154670"/>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3"/>
              <w:numId w:val="52"/>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2515466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其他应收款按款项性质分类情况"/>
              <w:tag w:val="_GBC_9a3af1171f5640cd83ea2c41e0145167"/>
              <w:id w:val="2515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5154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2981"/>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66a0098cd34ad6a335156852121360"/>
                <w:id w:val="25154663"/>
                <w:lock w:val="sdtLocked"/>
              </w:sdtPr>
              <w:sdtContent>
                <w:tc>
                  <w:tcPr>
                    <w:tcW w:w="3076" w:type="dxa"/>
                    <w:shd w:val="clear" w:color="auto" w:fill="auto"/>
                    <w:vAlign w:val="center"/>
                  </w:tcPr>
                  <w:p>
                    <w:pPr>
                      <w:pStyle w:val="76"/>
                      <w:jc w:val="center"/>
                    </w:pPr>
                    <w:r>
                      <w:rPr>
                        <w:rFonts w:hint="eastAsia"/>
                      </w:rPr>
                      <w:t>款项性质</w:t>
                    </w:r>
                  </w:p>
                </w:tc>
              </w:sdtContent>
            </w:sdt>
            <w:sdt>
              <w:sdtPr>
                <w:tag w:val="_PLD_51fee06f6d3944a9bbc7bac249ed63b6"/>
                <w:id w:val="25154664"/>
                <w:lock w:val="sdtLocked"/>
              </w:sdtPr>
              <w:sdtContent>
                <w:tc>
                  <w:tcPr>
                    <w:tcW w:w="2981" w:type="dxa"/>
                    <w:shd w:val="clear" w:color="auto" w:fill="auto"/>
                    <w:vAlign w:val="center"/>
                  </w:tcPr>
                  <w:p>
                    <w:pPr>
                      <w:pStyle w:val="76"/>
                      <w:jc w:val="center"/>
                    </w:pPr>
                    <w:r>
                      <w:rPr>
                        <w:rFonts w:hint="eastAsia"/>
                      </w:rPr>
                      <w:t>期末账面余额</w:t>
                    </w:r>
                  </w:p>
                </w:tc>
              </w:sdtContent>
            </w:sdt>
            <w:sdt>
              <w:sdtPr>
                <w:tag w:val="_PLD_0297dadecff24ff8926a98d0267a917b"/>
                <w:id w:val="25154665"/>
                <w:lock w:val="sdtLocked"/>
              </w:sdtPr>
              <w:sdtContent>
                <w:tc>
                  <w:tcPr>
                    <w:tcW w:w="2992" w:type="dxa"/>
                    <w:shd w:val="clear" w:color="auto" w:fill="auto"/>
                    <w:vAlign w:val="center"/>
                  </w:tcPr>
                  <w:p>
                    <w:pPr>
                      <w:pStyle w:val="76"/>
                      <w:jc w:val="center"/>
                    </w:pPr>
                    <w:r>
                      <w:rPr>
                        <w:rFonts w:hint="eastAsia"/>
                      </w:rPr>
                      <w:t>期初账面余额</w:t>
                    </w:r>
                  </w:p>
                </w:tc>
              </w:sdtContent>
            </w:sdt>
          </w:tr>
          <w:sdt>
            <w:sdtPr>
              <w:rPr>
                <w:rFonts w:hint="eastAsia"/>
              </w:rPr>
              <w:alias w:val="其他应收款按款项性质分类情况明细"/>
              <w:tag w:val="_GBC_936b797bf5094f7da8db3da3acd1de8c"/>
              <w:id w:val="2515466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76"/>
                    </w:pPr>
                    <w:r>
                      <w:t>代垫铁路运费</w:t>
                    </w:r>
                  </w:p>
                </w:tc>
                <w:tc>
                  <w:tcPr>
                    <w:tcW w:w="2981" w:type="dxa"/>
                    <w:shd w:val="clear" w:color="auto" w:fill="auto"/>
                  </w:tcPr>
                  <w:p>
                    <w:pPr>
                      <w:pStyle w:val="76"/>
                      <w:jc w:val="right"/>
                    </w:pPr>
                    <w:r>
                      <w:t>7,985,543.76</w:t>
                    </w:r>
                  </w:p>
                </w:tc>
                <w:tc>
                  <w:tcPr>
                    <w:tcW w:w="2992" w:type="dxa"/>
                    <w:shd w:val="clear" w:color="auto" w:fill="auto"/>
                  </w:tcPr>
                  <w:p>
                    <w:pPr>
                      <w:pStyle w:val="76"/>
                      <w:jc w:val="right"/>
                    </w:pPr>
                    <w:r>
                      <w:t>3,718,635.97</w:t>
                    </w:r>
                  </w:p>
                </w:tc>
              </w:tr>
            </w:sdtContent>
          </w:sdt>
          <w:sdt>
            <w:sdtPr>
              <w:rPr>
                <w:rFonts w:hint="eastAsia"/>
              </w:rPr>
              <w:alias w:val="其他应收款按款项性质分类情况明细"/>
              <w:tag w:val="_GBC_936b797bf5094f7da8db3da3acd1de8c"/>
              <w:id w:val="2515466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76"/>
                    </w:pPr>
                    <w:r>
                      <w:t>第三方资金往来</w:t>
                    </w:r>
                  </w:p>
                </w:tc>
                <w:tc>
                  <w:tcPr>
                    <w:tcW w:w="2981" w:type="dxa"/>
                    <w:shd w:val="clear" w:color="auto" w:fill="auto"/>
                  </w:tcPr>
                  <w:p>
                    <w:pPr>
                      <w:pStyle w:val="76"/>
                      <w:jc w:val="right"/>
                    </w:pPr>
                    <w:r>
                      <w:t>9,249,893.22</w:t>
                    </w:r>
                  </w:p>
                </w:tc>
                <w:tc>
                  <w:tcPr>
                    <w:tcW w:w="2992" w:type="dxa"/>
                    <w:shd w:val="clear" w:color="auto" w:fill="auto"/>
                  </w:tcPr>
                  <w:p>
                    <w:pPr>
                      <w:pStyle w:val="76"/>
                      <w:jc w:val="right"/>
                    </w:pPr>
                    <w:r>
                      <w:t>11,276,196.31</w:t>
                    </w:r>
                  </w:p>
                </w:tc>
              </w:tr>
            </w:sdtContent>
          </w:sdt>
          <w:sdt>
            <w:sdtPr>
              <w:rPr>
                <w:rFonts w:hint="eastAsia"/>
              </w:rPr>
              <w:alias w:val="其他应收款按款项性质分类情况明细"/>
              <w:tag w:val="_GBC_936b797bf5094f7da8db3da3acd1de8c"/>
              <w:id w:val="2515466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76"/>
                    </w:pPr>
                    <w:r>
                      <w:t>其他应收及暂付款</w:t>
                    </w:r>
                  </w:p>
                </w:tc>
                <w:tc>
                  <w:tcPr>
                    <w:tcW w:w="2981" w:type="dxa"/>
                    <w:shd w:val="clear" w:color="auto" w:fill="auto"/>
                  </w:tcPr>
                  <w:p>
                    <w:pPr>
                      <w:pStyle w:val="76"/>
                      <w:jc w:val="right"/>
                    </w:pPr>
                    <w:r>
                      <w:t>7,067,242.69</w:t>
                    </w:r>
                  </w:p>
                </w:tc>
                <w:tc>
                  <w:tcPr>
                    <w:tcW w:w="2992" w:type="dxa"/>
                    <w:shd w:val="clear" w:color="auto" w:fill="auto"/>
                  </w:tcPr>
                  <w:p>
                    <w:pPr>
                      <w:pStyle w:val="76"/>
                      <w:jc w:val="right"/>
                    </w:pPr>
                    <w:r>
                      <w:t>1,733,800.72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9d40156f33b4b6398b236a0f6461a23"/>
                <w:id w:val="25154669"/>
                <w:lock w:val="sdtLocked"/>
              </w:sdtPr>
              <w:sdtContent>
                <w:tc>
                  <w:tcPr>
                    <w:tcW w:w="3076" w:type="dxa"/>
                    <w:shd w:val="clear" w:color="auto" w:fill="auto"/>
                  </w:tcPr>
                  <w:p>
                    <w:pPr>
                      <w:pStyle w:val="76"/>
                      <w:jc w:val="center"/>
                    </w:pPr>
                    <w:r>
                      <w:t>合计</w:t>
                    </w:r>
                  </w:p>
                </w:tc>
              </w:sdtContent>
            </w:sdt>
            <w:tc>
              <w:tcPr>
                <w:tcW w:w="2981" w:type="dxa"/>
                <w:shd w:val="clear" w:color="auto" w:fill="auto"/>
              </w:tcPr>
              <w:p>
                <w:pPr>
                  <w:pStyle w:val="76"/>
                  <w:jc w:val="right"/>
                </w:pPr>
                <w:r>
                  <w:t>24,302,679.67</w:t>
                </w:r>
              </w:p>
            </w:tc>
            <w:tc>
              <w:tcPr>
                <w:tcW w:w="2992" w:type="dxa"/>
                <w:shd w:val="clear" w:color="auto" w:fill="auto"/>
              </w:tcPr>
              <w:p>
                <w:pPr>
                  <w:pStyle w:val="76"/>
                  <w:jc w:val="right"/>
                </w:pPr>
                <w:r>
                  <w:t>16,728,633.00</w:t>
                </w:r>
              </w:p>
            </w:tc>
          </w:tr>
        </w:tbl>
        <w:p>
          <w:pPr>
            <w:pStyle w:val="76"/>
          </w:pPr>
        </w:p>
      </w:sdtContent>
    </w:sdt>
    <w:sdt>
      <w:sdtPr>
        <w:rPr>
          <w:rFonts w:hint="eastAsia" w:ascii="宋体" w:hAnsi="宋体" w:cs="宋体"/>
          <w:b w:val="0"/>
          <w:bCs w:val="0"/>
          <w:kern w:val="0"/>
          <w:szCs w:val="24"/>
        </w:rPr>
        <w:alias w:val="模块:按欠款方归集的期末余额其中前五名的其他应收款单位情况"/>
        <w:tag w:val="_GBC_a83a3fc7866445d68738701d3998ac0b"/>
        <w:id w:val="25154686"/>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3"/>
              <w:numId w:val="52"/>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2515467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其他应收账款前五名欠款情况"/>
              <w:tag w:val="_GBC_1f85b3036b0644cbaf6c33311b7f159d"/>
              <w:id w:val="251546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251546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14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129"/>
            <w:gridCol w:w="1134"/>
            <w:gridCol w:w="1561"/>
            <w:gridCol w:w="1273"/>
            <w:gridCol w:w="170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6d371f7abd044db6abe05c7f74810d89"/>
                <w:id w:val="25154674"/>
                <w:lock w:val="sdtLocked"/>
              </w:sdtPr>
              <w:sdtContent>
                <w:tc>
                  <w:tcPr>
                    <w:tcW w:w="2129" w:type="dxa"/>
                    <w:vAlign w:val="center"/>
                  </w:tcPr>
                  <w:p>
                    <w:pPr>
                      <w:pStyle w:val="76"/>
                      <w:ind w:right="105"/>
                      <w:jc w:val="center"/>
                      <w:rPr>
                        <w:szCs w:val="21"/>
                      </w:rPr>
                    </w:pPr>
                    <w:r>
                      <w:rPr>
                        <w:rFonts w:hint="eastAsia"/>
                        <w:szCs w:val="21"/>
                      </w:rPr>
                      <w:t>单位名称</w:t>
                    </w:r>
                  </w:p>
                </w:tc>
              </w:sdtContent>
            </w:sdt>
            <w:sdt>
              <w:sdtPr>
                <w:tag w:val="_PLD_538171446ab849ca976672ecf5055c60"/>
                <w:id w:val="25154675"/>
                <w:lock w:val="sdtLocked"/>
              </w:sdtPr>
              <w:sdtContent>
                <w:tc>
                  <w:tcPr>
                    <w:tcW w:w="1134" w:type="dxa"/>
                    <w:vAlign w:val="center"/>
                  </w:tcPr>
                  <w:p>
                    <w:pPr>
                      <w:pStyle w:val="76"/>
                      <w:ind w:right="73"/>
                      <w:jc w:val="center"/>
                      <w:rPr>
                        <w:szCs w:val="21"/>
                      </w:rPr>
                    </w:pPr>
                    <w:r>
                      <w:rPr>
                        <w:rFonts w:hint="eastAsia"/>
                        <w:szCs w:val="21"/>
                      </w:rPr>
                      <w:t>款项的性质</w:t>
                    </w:r>
                  </w:p>
                </w:tc>
              </w:sdtContent>
            </w:sdt>
            <w:sdt>
              <w:sdtPr>
                <w:tag w:val="_PLD_9561b3d624ee40c28568fb322a981ebc"/>
                <w:id w:val="25154676"/>
                <w:lock w:val="sdtLocked"/>
              </w:sdtPr>
              <w:sdtContent>
                <w:tc>
                  <w:tcPr>
                    <w:tcW w:w="1561" w:type="dxa"/>
                    <w:vAlign w:val="center"/>
                  </w:tcPr>
                  <w:p>
                    <w:pPr>
                      <w:pStyle w:val="76"/>
                      <w:ind w:right="73"/>
                      <w:jc w:val="center"/>
                      <w:rPr>
                        <w:szCs w:val="21"/>
                      </w:rPr>
                    </w:pPr>
                    <w:r>
                      <w:rPr>
                        <w:rFonts w:hint="eastAsia"/>
                        <w:szCs w:val="21"/>
                      </w:rPr>
                      <w:t>期末余额</w:t>
                    </w:r>
                  </w:p>
                </w:tc>
              </w:sdtContent>
            </w:sdt>
            <w:sdt>
              <w:sdtPr>
                <w:tag w:val="_PLD_a97392b37d5d4c709a23cfdece48161b"/>
                <w:id w:val="25154677"/>
                <w:lock w:val="sdtLocked"/>
              </w:sdtPr>
              <w:sdtContent>
                <w:tc>
                  <w:tcPr>
                    <w:tcW w:w="1273" w:type="dxa"/>
                    <w:vAlign w:val="center"/>
                  </w:tcPr>
                  <w:p>
                    <w:pPr>
                      <w:pStyle w:val="76"/>
                      <w:ind w:right="73"/>
                      <w:jc w:val="center"/>
                      <w:rPr>
                        <w:szCs w:val="21"/>
                      </w:rPr>
                    </w:pPr>
                    <w:r>
                      <w:rPr>
                        <w:rFonts w:hint="eastAsia"/>
                        <w:szCs w:val="21"/>
                      </w:rPr>
                      <w:t>账龄</w:t>
                    </w:r>
                  </w:p>
                </w:tc>
              </w:sdtContent>
            </w:sdt>
            <w:sdt>
              <w:sdtPr>
                <w:tag w:val="_PLD_e2774c827e314521821234a0e399c2c1"/>
                <w:id w:val="25154678"/>
                <w:lock w:val="sdtLocked"/>
              </w:sdtPr>
              <w:sdtContent>
                <w:tc>
                  <w:tcPr>
                    <w:tcW w:w="1703" w:type="dxa"/>
                    <w:vAlign w:val="center"/>
                  </w:tcPr>
                  <w:p>
                    <w:pPr>
                      <w:pStyle w:val="76"/>
                      <w:jc w:val="center"/>
                      <w:rPr>
                        <w:szCs w:val="21"/>
                      </w:rPr>
                    </w:pPr>
                    <w:r>
                      <w:rPr>
                        <w:rFonts w:hint="eastAsia"/>
                        <w:szCs w:val="21"/>
                      </w:rPr>
                      <w:t>占其他应收款期末余额合计数的比例(</w:t>
                    </w:r>
                    <w:r>
                      <w:rPr>
                        <w:szCs w:val="21"/>
                      </w:rPr>
                      <w:t>%)</w:t>
                    </w:r>
                  </w:p>
                </w:tc>
              </w:sdtContent>
            </w:sdt>
            <w:sdt>
              <w:sdtPr>
                <w:tag w:val="_PLD_ac7ac1a39d1a46eb9269fc6979d54f6f"/>
                <w:id w:val="25154679"/>
                <w:lock w:val="sdtLocked"/>
              </w:sdtPr>
              <w:sdtContent>
                <w:tc>
                  <w:tcPr>
                    <w:tcW w:w="1348" w:type="dxa"/>
                    <w:vAlign w:val="center"/>
                  </w:tcPr>
                  <w:p>
                    <w:pPr>
                      <w:pStyle w:val="76"/>
                      <w:jc w:val="center"/>
                      <w:rPr>
                        <w:szCs w:val="21"/>
                      </w:rPr>
                    </w:pPr>
                    <w:r>
                      <w:rPr>
                        <w:rFonts w:hint="eastAsia"/>
                        <w:szCs w:val="21"/>
                      </w:rPr>
                      <w:t>坏账准备</w:t>
                    </w:r>
                  </w:p>
                  <w:p>
                    <w:pPr>
                      <w:pStyle w:val="76"/>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25154680"/>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29" w:type="dxa"/>
                  </w:tcPr>
                  <w:p>
                    <w:pPr>
                      <w:pStyle w:val="76"/>
                      <w:ind w:right="105"/>
                      <w:rPr>
                        <w:szCs w:val="21"/>
                      </w:rPr>
                    </w:pPr>
                    <w:r>
                      <w:t>代垫铁路运杂费</w:t>
                    </w:r>
                  </w:p>
                </w:tc>
                <w:tc>
                  <w:tcPr>
                    <w:tcW w:w="1134" w:type="dxa"/>
                  </w:tcPr>
                  <w:p>
                    <w:pPr>
                      <w:pStyle w:val="76"/>
                      <w:ind w:right="73"/>
                      <w:jc w:val="center"/>
                      <w:rPr>
                        <w:szCs w:val="21"/>
                      </w:rPr>
                    </w:pPr>
                    <w:r>
                      <w:t>运费</w:t>
                    </w:r>
                  </w:p>
                </w:tc>
                <w:tc>
                  <w:tcPr>
                    <w:tcW w:w="1561" w:type="dxa"/>
                  </w:tcPr>
                  <w:p>
                    <w:pPr>
                      <w:pStyle w:val="76"/>
                      <w:ind w:right="73"/>
                      <w:jc w:val="right"/>
                      <w:rPr>
                        <w:szCs w:val="21"/>
                      </w:rPr>
                    </w:pPr>
                    <w:r>
                      <w:t>7,985,543.76</w:t>
                    </w:r>
                  </w:p>
                </w:tc>
                <w:tc>
                  <w:tcPr>
                    <w:tcW w:w="1273" w:type="dxa"/>
                  </w:tcPr>
                  <w:p>
                    <w:pPr>
                      <w:pStyle w:val="76"/>
                      <w:ind w:right="73"/>
                      <w:jc w:val="center"/>
                      <w:rPr>
                        <w:szCs w:val="21"/>
                      </w:rPr>
                    </w:pPr>
                    <w:r>
                      <w:t>1年以内</w:t>
                    </w:r>
                  </w:p>
                </w:tc>
                <w:tc>
                  <w:tcPr>
                    <w:tcW w:w="1703" w:type="dxa"/>
                  </w:tcPr>
                  <w:p>
                    <w:pPr>
                      <w:pStyle w:val="76"/>
                      <w:jc w:val="right"/>
                      <w:rPr>
                        <w:szCs w:val="21"/>
                      </w:rPr>
                    </w:pPr>
                    <w:r>
                      <w:t>32.86</w:t>
                    </w:r>
                  </w:p>
                </w:tc>
                <w:tc>
                  <w:tcPr>
                    <w:tcW w:w="1348" w:type="dxa"/>
                  </w:tcPr>
                  <w:p>
                    <w:pPr>
                      <w:pStyle w:val="76"/>
                      <w:jc w:val="right"/>
                      <w:rPr>
                        <w:szCs w:val="21"/>
                      </w:rPr>
                    </w:pPr>
                    <w:r>
                      <w:t>239,566.31</w:t>
                    </w:r>
                  </w:p>
                </w:tc>
              </w:tr>
            </w:sdtContent>
          </w:sdt>
          <w:sdt>
            <w:sdtPr>
              <w:rPr>
                <w:rFonts w:hint="eastAsia"/>
                <w:szCs w:val="21"/>
              </w:rPr>
              <w:alias w:val="其他应收款欠款户"/>
              <w:tag w:val="_GBC_a3b4ad6ea89146a79c37c3807ef7a6fd"/>
              <w:id w:val="25154681"/>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29" w:type="dxa"/>
                  </w:tcPr>
                  <w:p>
                    <w:pPr>
                      <w:pStyle w:val="76"/>
                      <w:ind w:right="105"/>
                      <w:rPr>
                        <w:szCs w:val="21"/>
                      </w:rPr>
                    </w:pPr>
                    <w:r>
                      <w:rPr>
                        <w:rFonts w:hint="eastAsia"/>
                      </w:rPr>
                      <w:t>单位一</w:t>
                    </w:r>
                  </w:p>
                </w:tc>
                <w:tc>
                  <w:tcPr>
                    <w:tcW w:w="1134" w:type="dxa"/>
                  </w:tcPr>
                  <w:p>
                    <w:pPr>
                      <w:pStyle w:val="76"/>
                      <w:ind w:right="73"/>
                      <w:jc w:val="center"/>
                      <w:rPr>
                        <w:szCs w:val="21"/>
                      </w:rPr>
                    </w:pPr>
                    <w:r>
                      <w:t>费用</w:t>
                    </w:r>
                  </w:p>
                </w:tc>
                <w:tc>
                  <w:tcPr>
                    <w:tcW w:w="1561" w:type="dxa"/>
                  </w:tcPr>
                  <w:p>
                    <w:pPr>
                      <w:pStyle w:val="76"/>
                      <w:ind w:right="73"/>
                      <w:jc w:val="right"/>
                      <w:rPr>
                        <w:szCs w:val="21"/>
                      </w:rPr>
                    </w:pPr>
                    <w:r>
                      <w:t>3,415,160.00</w:t>
                    </w:r>
                  </w:p>
                </w:tc>
                <w:tc>
                  <w:tcPr>
                    <w:tcW w:w="1273" w:type="dxa"/>
                  </w:tcPr>
                  <w:p>
                    <w:pPr>
                      <w:pStyle w:val="76"/>
                      <w:ind w:right="73"/>
                      <w:jc w:val="center"/>
                      <w:rPr>
                        <w:szCs w:val="21"/>
                      </w:rPr>
                    </w:pPr>
                    <w:r>
                      <w:t>1年以内</w:t>
                    </w:r>
                  </w:p>
                </w:tc>
                <w:tc>
                  <w:tcPr>
                    <w:tcW w:w="1703" w:type="dxa"/>
                  </w:tcPr>
                  <w:p>
                    <w:pPr>
                      <w:pStyle w:val="76"/>
                      <w:jc w:val="right"/>
                      <w:rPr>
                        <w:szCs w:val="21"/>
                      </w:rPr>
                    </w:pPr>
                    <w:r>
                      <w:t>14.05</w:t>
                    </w:r>
                  </w:p>
                </w:tc>
                <w:tc>
                  <w:tcPr>
                    <w:tcW w:w="1348" w:type="dxa"/>
                  </w:tcPr>
                  <w:p>
                    <w:pPr>
                      <w:pStyle w:val="76"/>
                      <w:jc w:val="right"/>
                      <w:rPr>
                        <w:szCs w:val="21"/>
                      </w:rPr>
                    </w:pPr>
                    <w:r>
                      <w:t>102,454.80</w:t>
                    </w:r>
                  </w:p>
                </w:tc>
              </w:tr>
            </w:sdtContent>
          </w:sdt>
          <w:sdt>
            <w:sdtPr>
              <w:rPr>
                <w:rFonts w:hint="eastAsia"/>
                <w:szCs w:val="21"/>
              </w:rPr>
              <w:alias w:val="其他应收款欠款户"/>
              <w:tag w:val="_GBC_a3b4ad6ea89146a79c37c3807ef7a6fd"/>
              <w:id w:val="25154682"/>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29" w:type="dxa"/>
                  </w:tcPr>
                  <w:p>
                    <w:pPr>
                      <w:pStyle w:val="76"/>
                      <w:ind w:right="105"/>
                      <w:rPr>
                        <w:szCs w:val="21"/>
                      </w:rPr>
                    </w:pPr>
                    <w:r>
                      <w:t>安全生产费</w:t>
                    </w:r>
                  </w:p>
                </w:tc>
                <w:tc>
                  <w:tcPr>
                    <w:tcW w:w="1134" w:type="dxa"/>
                  </w:tcPr>
                  <w:p>
                    <w:pPr>
                      <w:pStyle w:val="76"/>
                      <w:ind w:right="73"/>
                      <w:jc w:val="center"/>
                      <w:rPr>
                        <w:szCs w:val="21"/>
                      </w:rPr>
                    </w:pPr>
                    <w:r>
                      <w:t>费用</w:t>
                    </w:r>
                  </w:p>
                </w:tc>
                <w:tc>
                  <w:tcPr>
                    <w:tcW w:w="1561" w:type="dxa"/>
                  </w:tcPr>
                  <w:p>
                    <w:pPr>
                      <w:pStyle w:val="76"/>
                      <w:ind w:right="73"/>
                      <w:jc w:val="right"/>
                      <w:rPr>
                        <w:szCs w:val="21"/>
                      </w:rPr>
                    </w:pPr>
                    <w:r>
                      <w:t>1,327,354.13</w:t>
                    </w:r>
                  </w:p>
                </w:tc>
                <w:tc>
                  <w:tcPr>
                    <w:tcW w:w="1273" w:type="dxa"/>
                  </w:tcPr>
                  <w:p>
                    <w:pPr>
                      <w:pStyle w:val="76"/>
                      <w:ind w:right="73"/>
                      <w:jc w:val="center"/>
                      <w:rPr>
                        <w:szCs w:val="21"/>
                      </w:rPr>
                    </w:pPr>
                    <w:r>
                      <w:t>1年以内</w:t>
                    </w:r>
                  </w:p>
                </w:tc>
                <w:tc>
                  <w:tcPr>
                    <w:tcW w:w="1703" w:type="dxa"/>
                  </w:tcPr>
                  <w:p>
                    <w:pPr>
                      <w:pStyle w:val="76"/>
                      <w:jc w:val="right"/>
                      <w:rPr>
                        <w:szCs w:val="21"/>
                      </w:rPr>
                    </w:pPr>
                    <w:r>
                      <w:t>5.46</w:t>
                    </w:r>
                  </w:p>
                </w:tc>
                <w:tc>
                  <w:tcPr>
                    <w:tcW w:w="1348" w:type="dxa"/>
                  </w:tcPr>
                  <w:p>
                    <w:pPr>
                      <w:pStyle w:val="76"/>
                      <w:jc w:val="right"/>
                      <w:rPr>
                        <w:szCs w:val="21"/>
                      </w:rPr>
                    </w:pPr>
                    <w:r>
                      <w:t>39,820.62</w:t>
                    </w:r>
                  </w:p>
                </w:tc>
              </w:tr>
            </w:sdtContent>
          </w:sdt>
          <w:sdt>
            <w:sdtPr>
              <w:rPr>
                <w:rFonts w:hint="eastAsia"/>
                <w:szCs w:val="21"/>
              </w:rPr>
              <w:alias w:val="其他应收款欠款户"/>
              <w:tag w:val="_GBC_a3b4ad6ea89146a79c37c3807ef7a6fd"/>
              <w:id w:val="25154683"/>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29" w:type="dxa"/>
                  </w:tcPr>
                  <w:p>
                    <w:pPr>
                      <w:pStyle w:val="76"/>
                      <w:ind w:right="105"/>
                      <w:rPr>
                        <w:szCs w:val="21"/>
                      </w:rPr>
                    </w:pPr>
                    <w:r>
                      <w:rPr>
                        <w:rFonts w:hint="eastAsia"/>
                      </w:rPr>
                      <w:t>单位二</w:t>
                    </w:r>
                  </w:p>
                </w:tc>
                <w:tc>
                  <w:tcPr>
                    <w:tcW w:w="1134" w:type="dxa"/>
                  </w:tcPr>
                  <w:p>
                    <w:pPr>
                      <w:pStyle w:val="76"/>
                      <w:ind w:right="73"/>
                      <w:jc w:val="center"/>
                      <w:rPr>
                        <w:szCs w:val="21"/>
                      </w:rPr>
                    </w:pPr>
                    <w:r>
                      <w:t>设备款</w:t>
                    </w:r>
                  </w:p>
                </w:tc>
                <w:tc>
                  <w:tcPr>
                    <w:tcW w:w="1561" w:type="dxa"/>
                  </w:tcPr>
                  <w:p>
                    <w:pPr>
                      <w:pStyle w:val="76"/>
                      <w:ind w:right="73"/>
                      <w:jc w:val="right"/>
                      <w:rPr>
                        <w:szCs w:val="21"/>
                      </w:rPr>
                    </w:pPr>
                    <w:r>
                      <w:t>944,300.00</w:t>
                    </w:r>
                  </w:p>
                </w:tc>
                <w:tc>
                  <w:tcPr>
                    <w:tcW w:w="1273" w:type="dxa"/>
                  </w:tcPr>
                  <w:p>
                    <w:pPr>
                      <w:pStyle w:val="76"/>
                      <w:ind w:right="73"/>
                      <w:jc w:val="center"/>
                      <w:rPr>
                        <w:szCs w:val="21"/>
                      </w:rPr>
                    </w:pPr>
                    <w:r>
                      <w:t>5年以上</w:t>
                    </w:r>
                  </w:p>
                </w:tc>
                <w:tc>
                  <w:tcPr>
                    <w:tcW w:w="1703" w:type="dxa"/>
                  </w:tcPr>
                  <w:p>
                    <w:pPr>
                      <w:pStyle w:val="76"/>
                      <w:jc w:val="right"/>
                      <w:rPr>
                        <w:szCs w:val="21"/>
                      </w:rPr>
                    </w:pPr>
                    <w:r>
                      <w:t>3.89</w:t>
                    </w:r>
                  </w:p>
                </w:tc>
                <w:tc>
                  <w:tcPr>
                    <w:tcW w:w="1348" w:type="dxa"/>
                  </w:tcPr>
                  <w:p>
                    <w:pPr>
                      <w:pStyle w:val="76"/>
                      <w:jc w:val="right"/>
                      <w:rPr>
                        <w:szCs w:val="21"/>
                      </w:rPr>
                    </w:pPr>
                    <w:r>
                      <w:t>944,300.00</w:t>
                    </w:r>
                  </w:p>
                </w:tc>
              </w:tr>
            </w:sdtContent>
          </w:sdt>
          <w:sdt>
            <w:sdtPr>
              <w:rPr>
                <w:rFonts w:hint="eastAsia"/>
                <w:szCs w:val="21"/>
              </w:rPr>
              <w:alias w:val="其他应收款欠款户"/>
              <w:tag w:val="_GBC_a3b4ad6ea89146a79c37c3807ef7a6fd"/>
              <w:id w:val="25154684"/>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29" w:type="dxa"/>
                  </w:tcPr>
                  <w:p>
                    <w:pPr>
                      <w:pStyle w:val="76"/>
                      <w:ind w:right="105"/>
                      <w:rPr>
                        <w:szCs w:val="21"/>
                      </w:rPr>
                    </w:pPr>
                    <w:r>
                      <w:rPr>
                        <w:rFonts w:hint="eastAsia"/>
                      </w:rPr>
                      <w:t>单位三</w:t>
                    </w:r>
                  </w:p>
                </w:tc>
                <w:tc>
                  <w:tcPr>
                    <w:tcW w:w="1134" w:type="dxa"/>
                  </w:tcPr>
                  <w:p>
                    <w:pPr>
                      <w:pStyle w:val="76"/>
                      <w:ind w:right="73"/>
                      <w:jc w:val="center"/>
                      <w:rPr>
                        <w:szCs w:val="21"/>
                      </w:rPr>
                    </w:pPr>
                    <w:r>
                      <w:t>货款</w:t>
                    </w:r>
                  </w:p>
                </w:tc>
                <w:tc>
                  <w:tcPr>
                    <w:tcW w:w="1561" w:type="dxa"/>
                  </w:tcPr>
                  <w:p>
                    <w:pPr>
                      <w:pStyle w:val="76"/>
                      <w:ind w:right="73"/>
                      <w:jc w:val="right"/>
                      <w:rPr>
                        <w:szCs w:val="21"/>
                      </w:rPr>
                    </w:pPr>
                    <w:r>
                      <w:t>912,241.41</w:t>
                    </w:r>
                  </w:p>
                </w:tc>
                <w:tc>
                  <w:tcPr>
                    <w:tcW w:w="1273" w:type="dxa"/>
                  </w:tcPr>
                  <w:p>
                    <w:pPr>
                      <w:pStyle w:val="76"/>
                      <w:ind w:right="73"/>
                      <w:jc w:val="center"/>
                      <w:rPr>
                        <w:szCs w:val="21"/>
                      </w:rPr>
                    </w:pPr>
                    <w:r>
                      <w:t>2-3年</w:t>
                    </w:r>
                  </w:p>
                </w:tc>
                <w:tc>
                  <w:tcPr>
                    <w:tcW w:w="1703" w:type="dxa"/>
                  </w:tcPr>
                  <w:p>
                    <w:pPr>
                      <w:pStyle w:val="76"/>
                      <w:jc w:val="right"/>
                      <w:rPr>
                        <w:szCs w:val="21"/>
                      </w:rPr>
                    </w:pPr>
                    <w:r>
                      <w:t>3.75</w:t>
                    </w:r>
                  </w:p>
                </w:tc>
                <w:tc>
                  <w:tcPr>
                    <w:tcW w:w="1348" w:type="dxa"/>
                  </w:tcPr>
                  <w:p>
                    <w:pPr>
                      <w:pStyle w:val="76"/>
                      <w:jc w:val="right"/>
                      <w:rPr>
                        <w:szCs w:val="21"/>
                      </w:rPr>
                    </w:pPr>
                    <w:r>
                      <w:t>273,672.42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f229cb1d3424499a96c618f3911226c3"/>
                <w:id w:val="25154685"/>
                <w:lock w:val="sdtLocked"/>
              </w:sdtPr>
              <w:sdtContent>
                <w:tc>
                  <w:tcPr>
                    <w:tcW w:w="2129" w:type="dxa"/>
                  </w:tcPr>
                  <w:p>
                    <w:pPr>
                      <w:pStyle w:val="76"/>
                      <w:ind w:right="105"/>
                      <w:jc w:val="center"/>
                      <w:rPr>
                        <w:szCs w:val="21"/>
                      </w:rPr>
                    </w:pPr>
                    <w:r>
                      <w:rPr>
                        <w:rFonts w:hint="eastAsia"/>
                        <w:szCs w:val="21"/>
                      </w:rPr>
                      <w:t>合计</w:t>
                    </w:r>
                  </w:p>
                </w:tc>
              </w:sdtContent>
            </w:sdt>
            <w:tc>
              <w:tcPr>
                <w:tcW w:w="1134" w:type="dxa"/>
              </w:tcPr>
              <w:p>
                <w:pPr>
                  <w:pStyle w:val="76"/>
                  <w:ind w:right="73"/>
                  <w:jc w:val="center"/>
                  <w:rPr>
                    <w:szCs w:val="21"/>
                  </w:rPr>
                </w:pPr>
                <w:r>
                  <w:rPr>
                    <w:szCs w:val="21"/>
                  </w:rPr>
                  <w:t>/</w:t>
                </w:r>
              </w:p>
            </w:tc>
            <w:tc>
              <w:tcPr>
                <w:tcW w:w="1561" w:type="dxa"/>
              </w:tcPr>
              <w:p>
                <w:pPr>
                  <w:pStyle w:val="76"/>
                  <w:ind w:right="73"/>
                  <w:jc w:val="right"/>
                  <w:rPr>
                    <w:szCs w:val="21"/>
                  </w:rPr>
                </w:pPr>
                <w:r>
                  <w:t>14,584,599.30</w:t>
                </w:r>
              </w:p>
            </w:tc>
            <w:tc>
              <w:tcPr>
                <w:tcW w:w="1273" w:type="dxa"/>
              </w:tcPr>
              <w:p>
                <w:pPr>
                  <w:pStyle w:val="76"/>
                  <w:ind w:right="73"/>
                  <w:jc w:val="center"/>
                  <w:rPr>
                    <w:szCs w:val="21"/>
                  </w:rPr>
                </w:pPr>
                <w:r>
                  <w:rPr>
                    <w:szCs w:val="21"/>
                  </w:rPr>
                  <w:t>/</w:t>
                </w:r>
              </w:p>
            </w:tc>
            <w:tc>
              <w:tcPr>
                <w:tcW w:w="1703" w:type="dxa"/>
              </w:tcPr>
              <w:p>
                <w:pPr>
                  <w:pStyle w:val="76"/>
                  <w:jc w:val="right"/>
                  <w:rPr>
                    <w:szCs w:val="21"/>
                  </w:rPr>
                </w:pPr>
                <w:r>
                  <w:t>60.01</w:t>
                </w:r>
              </w:p>
            </w:tc>
            <w:tc>
              <w:tcPr>
                <w:tcW w:w="1348" w:type="dxa"/>
              </w:tcPr>
              <w:p>
                <w:pPr>
                  <w:pStyle w:val="76"/>
                  <w:jc w:val="right"/>
                  <w:rPr>
                    <w:szCs w:val="21"/>
                  </w:rPr>
                </w:pPr>
                <w:r>
                  <w:t>1,599,814.15</w:t>
                </w:r>
              </w:p>
            </w:tc>
          </w:tr>
        </w:tbl>
        <w:p>
          <w:pPr>
            <w:pStyle w:val="76"/>
          </w:pPr>
        </w:p>
        <w:p>
          <w:pPr>
            <w:pStyle w:val="76"/>
            <w:snapToGrid w:val="0"/>
            <w:spacing w:line="240" w:lineRule="atLeast"/>
          </w:pPr>
        </w:p>
      </w:sdtContent>
    </w:sdt>
    <w:sdt>
      <w:sdtPr>
        <w:rPr>
          <w:rFonts w:hint="eastAsia" w:ascii="Times New Roman" w:hAnsi="Times New Roman" w:cs="宋体"/>
          <w:b w:val="0"/>
          <w:bCs w:val="0"/>
          <w:kern w:val="0"/>
          <w:szCs w:val="24"/>
        </w:rPr>
        <w:alias w:val="模块:按应收金额确认的政府补助"/>
        <w:tag w:val="_GBC_0b136aef44064ce4880a47aef5cda04d"/>
        <w:id w:val="25154688"/>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52"/>
            </w:numPr>
            <w:tabs>
              <w:tab w:val="left" w:pos="588"/>
            </w:tabs>
          </w:pPr>
          <w:r>
            <w:rPr>
              <w:rFonts w:hint="eastAsia"/>
            </w:rPr>
            <w:t>涉及政府补助的应收款项</w:t>
          </w:r>
        </w:p>
        <w:sdt>
          <w:sdtPr>
            <w:alias w:val="是否适用：涉及政府补助的应收款项[双击切换]"/>
            <w:tag w:val="_GBC_bfa30ddd81f643f9b7a3d1064d505e6a"/>
            <w:id w:val="2515468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73268e67b3d94deab59672a03d2cbd2a"/>
        <w:id w:val="25154690"/>
        <w:lock w:val="sdtLocked"/>
        <w:placeholder>
          <w:docPart w:val="GBC22222222222222222222222222222"/>
        </w:placeholder>
      </w:sdtPr>
      <w:sdtEndPr>
        <w:rPr>
          <w:rFonts w:ascii="Times New Roman" w:hAnsi="Times New Roman" w:cs="宋体"/>
          <w:b w:val="0"/>
          <w:bCs w:val="0"/>
          <w:kern w:val="0"/>
          <w:szCs w:val="24"/>
        </w:rPr>
      </w:sdtEndPr>
      <w:sdtContent>
        <w:p>
          <w:pPr>
            <w:pStyle w:val="80"/>
            <w:numPr>
              <w:ilvl w:val="3"/>
              <w:numId w:val="52"/>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25154689"/>
            <w:lock w:val="sdtContentLocked"/>
            <w:placeholder>
              <w:docPart w:val="GBC22222222222222222222222222222"/>
            </w:placeholder>
          </w:sdtPr>
          <w:sdtEndPr>
            <w:rPr>
              <w:rFonts w:hint="eastAsia"/>
              <w:szCs w:val="21"/>
            </w:rPr>
          </w:sdtEndPr>
          <w:sdtContent>
            <w:p>
              <w:pPr>
                <w:pStyle w:val="76"/>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Times New Roman" w:hAnsi="Times New Roman" w:cs="宋体"/>
          <w:b w:val="0"/>
          <w:bCs w:val="0"/>
          <w:kern w:val="0"/>
          <w:szCs w:val="24"/>
        </w:rPr>
        <w:alias w:val="模块:转移其他应收款且继续涉入形成的资产、负债金额的说明"/>
        <w:tag w:val="_GBC_05496beed0c54ab3b5c0e91297ee374e"/>
        <w:id w:val="25154692"/>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3"/>
              <w:numId w:val="52"/>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2515469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Times New Roman" w:hAnsi="Times New Roman"/>
          <w:b/>
          <w:bCs/>
        </w:rPr>
        <w:alias w:val="模块:其他应收款其他说明"/>
        <w:tag w:val="_GBC_de4246046d754793a6a2db96dd5bb245"/>
        <w:id w:val="25154694"/>
        <w:lock w:val="sdtLocked"/>
        <w:placeholder>
          <w:docPart w:val="GBC22222222222222222222222222222"/>
        </w:placeholder>
      </w:sdtPr>
      <w:sdtEndPr>
        <w:rPr>
          <w:rFonts w:hint="eastAsia" w:ascii="Times New Roman" w:hAnsi="Times New Roman"/>
          <w:b w:val="0"/>
          <w:bCs w:val="0"/>
        </w:rPr>
      </w:sdtEndPr>
      <w:sdtContent>
        <w:p>
          <w:pPr>
            <w:pStyle w:val="76"/>
          </w:pPr>
          <w:r>
            <w:rPr>
              <w:rFonts w:hint="eastAsia"/>
            </w:rPr>
            <w:t>其他</w:t>
          </w:r>
          <w:r>
            <w:t>说明：</w:t>
          </w:r>
        </w:p>
        <w:sdt>
          <w:sdtPr>
            <w:alias w:val="是否适用：其他应收款的其他说明[双击切换]"/>
            <w:tag w:val="_GBC_55d570440c184744bd13a4938ba488d1"/>
            <w:id w:val="25154693"/>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pPr>
      <w:r>
        <w:rPr>
          <w:rFonts w:hint="eastAsia"/>
        </w:rPr>
        <w:t>存货</w:t>
      </w:r>
    </w:p>
    <w:sdt>
      <w:sdtPr>
        <w:rPr>
          <w:rFonts w:hint="eastAsia" w:cs="宋体" w:asciiTheme="minorHAnsi" w:hAnsiTheme="minorHAnsi"/>
          <w:b w:val="0"/>
          <w:bCs w:val="0"/>
          <w:kern w:val="0"/>
          <w:szCs w:val="22"/>
        </w:rPr>
        <w:alias w:val="模块:存货分类 "/>
        <w:tag w:val="_GBC_1953ea50f68542df9fa36d84b994cf17"/>
        <w:id w:val="25154711"/>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53"/>
            </w:numPr>
            <w:tabs>
              <w:tab w:val="left" w:pos="630"/>
            </w:tabs>
          </w:pPr>
          <w:r>
            <w:rPr>
              <w:rFonts w:hint="eastAsia"/>
            </w:rPr>
            <w:t>存货分类</w:t>
          </w:r>
        </w:p>
        <w:sdt>
          <w:sdtPr>
            <w:alias w:val="是否适用：存货分类[双击切换]"/>
            <w:tag w:val="_GBC_06c46a03a226418fb8e5e84326c47750"/>
            <w:id w:val="2515469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存货分类"/>
              <w:tag w:val="_GBC_cc6e1ec3be0141cbb25cf999a897b29b"/>
              <w:id w:val="25154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25154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260"/>
            <w:gridCol w:w="1408"/>
            <w:gridCol w:w="1007"/>
            <w:gridCol w:w="1408"/>
            <w:gridCol w:w="1408"/>
            <w:gridCol w:w="99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dcf238046b084ea6bb17eb21e6d8d211"/>
                <w:id w:val="25154698"/>
                <w:lock w:val="sdtLocked"/>
              </w:sdtPr>
              <w:sdtContent>
                <w:tc>
                  <w:tcPr>
                    <w:tcW w:w="1260" w:type="dxa"/>
                    <w:vMerge w:val="restart"/>
                    <w:vAlign w:val="center"/>
                  </w:tcPr>
                  <w:p>
                    <w:pPr>
                      <w:pStyle w:val="76"/>
                      <w:jc w:val="center"/>
                      <w:rPr>
                        <w:szCs w:val="21"/>
                      </w:rPr>
                    </w:pPr>
                    <w:r>
                      <w:rPr>
                        <w:rFonts w:hint="eastAsia"/>
                        <w:szCs w:val="21"/>
                      </w:rPr>
                      <w:t>项目</w:t>
                    </w:r>
                  </w:p>
                </w:tc>
              </w:sdtContent>
            </w:sdt>
            <w:sdt>
              <w:sdtPr>
                <w:tag w:val="_PLD_1707021299d54c23824a593cbb7497a0"/>
                <w:id w:val="25154699"/>
                <w:lock w:val="sdtLocked"/>
              </w:sdtPr>
              <w:sdtContent>
                <w:tc>
                  <w:tcPr>
                    <w:tcW w:w="3823" w:type="dxa"/>
                    <w:gridSpan w:val="3"/>
                    <w:vAlign w:val="center"/>
                  </w:tcPr>
                  <w:p>
                    <w:pPr>
                      <w:pStyle w:val="76"/>
                      <w:jc w:val="center"/>
                      <w:rPr>
                        <w:szCs w:val="21"/>
                      </w:rPr>
                    </w:pPr>
                    <w:r>
                      <w:rPr>
                        <w:rFonts w:hint="eastAsia"/>
                        <w:szCs w:val="21"/>
                      </w:rPr>
                      <w:t>期末余额</w:t>
                    </w:r>
                  </w:p>
                </w:tc>
              </w:sdtContent>
            </w:sdt>
            <w:sdt>
              <w:sdtPr>
                <w:tag w:val="_PLD_cb35c0a724b140118b8aed681b9fbb28"/>
                <w:id w:val="25154700"/>
                <w:lock w:val="sdtLocked"/>
              </w:sdtPr>
              <w:sdtContent>
                <w:tc>
                  <w:tcPr>
                    <w:tcW w:w="3812" w:type="dxa"/>
                    <w:gridSpan w:val="3"/>
                    <w:vAlign w:val="center"/>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260" w:type="dxa"/>
                <w:vMerge w:val="continue"/>
              </w:tcPr>
              <w:p>
                <w:pPr>
                  <w:pStyle w:val="76"/>
                  <w:ind w:right="5"/>
                  <w:jc w:val="center"/>
                  <w:rPr>
                    <w:szCs w:val="21"/>
                  </w:rPr>
                </w:pPr>
              </w:p>
            </w:tc>
            <w:sdt>
              <w:sdtPr>
                <w:tag w:val="_PLD_3fbf52455f74482eb02a5cfb68de7f11"/>
                <w:id w:val="25154701"/>
                <w:lock w:val="sdtLocked"/>
              </w:sdtPr>
              <w:sdtContent>
                <w:tc>
                  <w:tcPr>
                    <w:tcW w:w="1408" w:type="dxa"/>
                    <w:vAlign w:val="center"/>
                  </w:tcPr>
                  <w:p>
                    <w:pPr>
                      <w:pStyle w:val="76"/>
                      <w:ind w:right="5"/>
                      <w:jc w:val="center"/>
                      <w:rPr>
                        <w:szCs w:val="21"/>
                      </w:rPr>
                    </w:pPr>
                    <w:r>
                      <w:rPr>
                        <w:rFonts w:hint="eastAsia"/>
                        <w:szCs w:val="21"/>
                      </w:rPr>
                      <w:t>账面余额</w:t>
                    </w:r>
                  </w:p>
                </w:tc>
              </w:sdtContent>
            </w:sdt>
            <w:sdt>
              <w:sdtPr>
                <w:tag w:val="_PLD_f69741d1e3bf47acbb6d8b4279c97f25"/>
                <w:id w:val="25154702"/>
                <w:lock w:val="sdtLocked"/>
              </w:sdtPr>
              <w:sdtContent>
                <w:tc>
                  <w:tcPr>
                    <w:tcW w:w="1007" w:type="dxa"/>
                    <w:vAlign w:val="center"/>
                  </w:tcPr>
                  <w:p>
                    <w:pPr>
                      <w:pStyle w:val="76"/>
                      <w:ind w:right="5"/>
                      <w:jc w:val="center"/>
                      <w:rPr>
                        <w:szCs w:val="21"/>
                      </w:rPr>
                    </w:pPr>
                    <w:r>
                      <w:rPr>
                        <w:rFonts w:hint="eastAsia"/>
                        <w:szCs w:val="21"/>
                      </w:rPr>
                      <w:t>跌价准备</w:t>
                    </w:r>
                  </w:p>
                </w:tc>
              </w:sdtContent>
            </w:sdt>
            <w:sdt>
              <w:sdtPr>
                <w:tag w:val="_PLD_e17f258c88634afda5663e4c52228c77"/>
                <w:id w:val="25154703"/>
                <w:lock w:val="sdtLocked"/>
              </w:sdtPr>
              <w:sdtContent>
                <w:tc>
                  <w:tcPr>
                    <w:tcW w:w="1408" w:type="dxa"/>
                    <w:vAlign w:val="center"/>
                  </w:tcPr>
                  <w:p>
                    <w:pPr>
                      <w:pStyle w:val="76"/>
                      <w:ind w:right="5"/>
                      <w:jc w:val="center"/>
                      <w:rPr>
                        <w:szCs w:val="21"/>
                      </w:rPr>
                    </w:pPr>
                    <w:r>
                      <w:rPr>
                        <w:rFonts w:hint="eastAsia"/>
                        <w:szCs w:val="21"/>
                      </w:rPr>
                      <w:t>账面价值</w:t>
                    </w:r>
                  </w:p>
                </w:tc>
              </w:sdtContent>
            </w:sdt>
            <w:sdt>
              <w:sdtPr>
                <w:tag w:val="_PLD_fa3c1d529cab4d56b4d0a639cd88537e"/>
                <w:id w:val="25154704"/>
                <w:lock w:val="sdtLocked"/>
              </w:sdtPr>
              <w:sdtContent>
                <w:tc>
                  <w:tcPr>
                    <w:tcW w:w="1408" w:type="dxa"/>
                    <w:vAlign w:val="center"/>
                  </w:tcPr>
                  <w:p>
                    <w:pPr>
                      <w:pStyle w:val="76"/>
                      <w:ind w:right="5"/>
                      <w:jc w:val="center"/>
                      <w:rPr>
                        <w:szCs w:val="21"/>
                      </w:rPr>
                    </w:pPr>
                    <w:r>
                      <w:rPr>
                        <w:rFonts w:hint="eastAsia"/>
                        <w:szCs w:val="21"/>
                      </w:rPr>
                      <w:t>账面余额</w:t>
                    </w:r>
                  </w:p>
                </w:tc>
              </w:sdtContent>
            </w:sdt>
            <w:sdt>
              <w:sdtPr>
                <w:tag w:val="_PLD_d2f4be6e55ea43faa63425a296430d81"/>
                <w:id w:val="25154705"/>
                <w:lock w:val="sdtLocked"/>
              </w:sdtPr>
              <w:sdtContent>
                <w:tc>
                  <w:tcPr>
                    <w:tcW w:w="996" w:type="dxa"/>
                    <w:vAlign w:val="center"/>
                  </w:tcPr>
                  <w:p>
                    <w:pPr>
                      <w:pStyle w:val="76"/>
                      <w:ind w:right="5"/>
                      <w:jc w:val="center"/>
                      <w:rPr>
                        <w:szCs w:val="21"/>
                      </w:rPr>
                    </w:pPr>
                    <w:r>
                      <w:rPr>
                        <w:rFonts w:hint="eastAsia"/>
                        <w:szCs w:val="21"/>
                      </w:rPr>
                      <w:t>跌价准备</w:t>
                    </w:r>
                  </w:p>
                </w:tc>
              </w:sdtContent>
            </w:sdt>
            <w:sdt>
              <w:sdtPr>
                <w:tag w:val="_PLD_206ebc3e742c4cf38e095f022b77174a"/>
                <w:id w:val="25154706"/>
                <w:lock w:val="sdtLocked"/>
              </w:sdtPr>
              <w:sdtContent>
                <w:tc>
                  <w:tcPr>
                    <w:tcW w:w="1408" w:type="dxa"/>
                    <w:vAlign w:val="center"/>
                  </w:tcPr>
                  <w:p>
                    <w:pPr>
                      <w:pStyle w:val="76"/>
                      <w:ind w:right="5"/>
                      <w:jc w:val="center"/>
                      <w:rPr>
                        <w:szCs w:val="21"/>
                      </w:rPr>
                    </w:pPr>
                    <w:r>
                      <w:rPr>
                        <w:rFonts w:hint="eastAsia"/>
                        <w:szCs w:val="21"/>
                      </w:rPr>
                      <w:t>账面价值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47798ea5c0d475ebde93a74d4ff8bb7"/>
                <w:id w:val="25154707"/>
                <w:lock w:val="sdtLocked"/>
              </w:sdtPr>
              <w:sdtContent>
                <w:tc>
                  <w:tcPr>
                    <w:tcW w:w="1260" w:type="dxa"/>
                  </w:tcPr>
                  <w:p>
                    <w:pPr>
                      <w:pStyle w:val="76"/>
                      <w:ind w:right="5"/>
                      <w:rPr>
                        <w:szCs w:val="21"/>
                      </w:rPr>
                    </w:pPr>
                    <w:r>
                      <w:rPr>
                        <w:rFonts w:hint="eastAsia"/>
                        <w:szCs w:val="21"/>
                      </w:rPr>
                      <w:t>原材料</w:t>
                    </w:r>
                  </w:p>
                </w:tc>
              </w:sdtContent>
            </w:sdt>
            <w:tc>
              <w:tcPr>
                <w:tcW w:w="1408" w:type="dxa"/>
                <w:vAlign w:val="center"/>
              </w:tcPr>
              <w:p>
                <w:pPr>
                  <w:pStyle w:val="76"/>
                  <w:ind w:right="5"/>
                  <w:jc w:val="right"/>
                  <w:rPr>
                    <w:rFonts w:ascii="Arial Narrow" w:hAnsi="Arial Narrow"/>
                    <w:szCs w:val="21"/>
                  </w:rPr>
                </w:pPr>
                <w:r>
                  <w:rPr>
                    <w:rFonts w:ascii="Arial Narrow" w:hAnsi="Arial Narrow"/>
                  </w:rPr>
                  <w:t>4,164,308,160.32</w:t>
                </w:r>
              </w:p>
            </w:tc>
            <w:tc>
              <w:tcPr>
                <w:tcW w:w="1007" w:type="dxa"/>
                <w:vAlign w:val="center"/>
              </w:tcPr>
              <w:p>
                <w:pPr>
                  <w:pStyle w:val="76"/>
                  <w:ind w:right="5"/>
                  <w:jc w:val="right"/>
                  <w:rPr>
                    <w:rFonts w:ascii="Arial Narrow" w:hAnsi="Arial Narrow"/>
                    <w:szCs w:val="21"/>
                  </w:rPr>
                </w:pPr>
              </w:p>
            </w:tc>
            <w:tc>
              <w:tcPr>
                <w:tcW w:w="1408" w:type="dxa"/>
                <w:vAlign w:val="center"/>
              </w:tcPr>
              <w:p>
                <w:pPr>
                  <w:pStyle w:val="76"/>
                  <w:ind w:right="5"/>
                  <w:jc w:val="right"/>
                  <w:rPr>
                    <w:rFonts w:ascii="Arial Narrow" w:hAnsi="Arial Narrow"/>
                    <w:szCs w:val="21"/>
                  </w:rPr>
                </w:pPr>
                <w:r>
                  <w:rPr>
                    <w:rFonts w:ascii="Arial Narrow" w:hAnsi="Arial Narrow"/>
                  </w:rPr>
                  <w:t>4,164,308,160.32</w:t>
                </w:r>
              </w:p>
            </w:tc>
            <w:tc>
              <w:tcPr>
                <w:tcW w:w="1408" w:type="dxa"/>
                <w:vAlign w:val="center"/>
              </w:tcPr>
              <w:p>
                <w:pPr>
                  <w:pStyle w:val="76"/>
                  <w:ind w:right="5"/>
                  <w:jc w:val="right"/>
                  <w:rPr>
                    <w:rFonts w:ascii="Arial Narrow" w:hAnsi="Arial Narrow"/>
                    <w:szCs w:val="21"/>
                  </w:rPr>
                </w:pPr>
                <w:r>
                  <w:rPr>
                    <w:rFonts w:ascii="Arial Narrow" w:hAnsi="Arial Narrow"/>
                  </w:rPr>
                  <w:t>4,085,594,463.71</w:t>
                </w:r>
              </w:p>
            </w:tc>
            <w:tc>
              <w:tcPr>
                <w:tcW w:w="996" w:type="dxa"/>
                <w:vAlign w:val="center"/>
              </w:tcPr>
              <w:p>
                <w:pPr>
                  <w:pStyle w:val="76"/>
                  <w:ind w:right="5"/>
                  <w:jc w:val="right"/>
                  <w:rPr>
                    <w:rFonts w:ascii="Arial Narrow" w:hAnsi="Arial Narrow"/>
                    <w:szCs w:val="21"/>
                  </w:rPr>
                </w:pPr>
              </w:p>
            </w:tc>
            <w:tc>
              <w:tcPr>
                <w:tcW w:w="1408" w:type="dxa"/>
                <w:vAlign w:val="center"/>
              </w:tcPr>
              <w:p>
                <w:pPr>
                  <w:pStyle w:val="76"/>
                  <w:ind w:right="5"/>
                  <w:jc w:val="right"/>
                  <w:rPr>
                    <w:rFonts w:ascii="Arial Narrow" w:hAnsi="Arial Narrow"/>
                    <w:szCs w:val="21"/>
                  </w:rPr>
                </w:pPr>
                <w:r>
                  <w:rPr>
                    <w:rFonts w:ascii="Arial Narrow" w:hAnsi="Arial Narrow"/>
                  </w:rPr>
                  <w:t>4,085,594,463.71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681c19d7cb94f4a9d58ddaaaffd1e46"/>
                <w:id w:val="25154708"/>
                <w:lock w:val="sdtLocked"/>
              </w:sdtPr>
              <w:sdtContent>
                <w:tc>
                  <w:tcPr>
                    <w:tcW w:w="1260" w:type="dxa"/>
                  </w:tcPr>
                  <w:p>
                    <w:pPr>
                      <w:pStyle w:val="76"/>
                      <w:ind w:right="5"/>
                      <w:rPr>
                        <w:szCs w:val="21"/>
                      </w:rPr>
                    </w:pPr>
                    <w:r>
                      <w:rPr>
                        <w:rFonts w:hint="eastAsia"/>
                        <w:szCs w:val="21"/>
                      </w:rPr>
                      <w:t>在产品</w:t>
                    </w:r>
                  </w:p>
                </w:tc>
              </w:sdtContent>
            </w:sdt>
            <w:tc>
              <w:tcPr>
                <w:tcW w:w="1408" w:type="dxa"/>
                <w:vAlign w:val="center"/>
              </w:tcPr>
              <w:p>
                <w:pPr>
                  <w:pStyle w:val="76"/>
                  <w:ind w:right="5"/>
                  <w:jc w:val="right"/>
                  <w:rPr>
                    <w:rFonts w:ascii="Arial Narrow" w:hAnsi="Arial Narrow"/>
                    <w:szCs w:val="21"/>
                  </w:rPr>
                </w:pPr>
                <w:r>
                  <w:rPr>
                    <w:rFonts w:ascii="Arial Narrow" w:hAnsi="Arial Narrow"/>
                    <w:szCs w:val="21"/>
                  </w:rPr>
                  <w:t>406,732,203.24</w:t>
                </w:r>
              </w:p>
            </w:tc>
            <w:tc>
              <w:tcPr>
                <w:tcW w:w="1007" w:type="dxa"/>
                <w:vAlign w:val="center"/>
              </w:tcPr>
              <w:p>
                <w:pPr>
                  <w:pStyle w:val="76"/>
                  <w:ind w:right="5"/>
                  <w:jc w:val="right"/>
                  <w:rPr>
                    <w:rFonts w:ascii="Arial Narrow" w:hAnsi="Arial Narrow"/>
                    <w:szCs w:val="21"/>
                  </w:rPr>
                </w:pPr>
              </w:p>
            </w:tc>
            <w:tc>
              <w:tcPr>
                <w:tcW w:w="1408" w:type="dxa"/>
                <w:vAlign w:val="center"/>
              </w:tcPr>
              <w:p>
                <w:pPr>
                  <w:pStyle w:val="76"/>
                  <w:ind w:right="5"/>
                  <w:jc w:val="right"/>
                  <w:rPr>
                    <w:rFonts w:ascii="Arial Narrow" w:hAnsi="Arial Narrow"/>
                    <w:szCs w:val="21"/>
                  </w:rPr>
                </w:pPr>
                <w:r>
                  <w:rPr>
                    <w:rFonts w:ascii="Arial Narrow" w:hAnsi="Arial Narrow"/>
                  </w:rPr>
                  <w:t>406,732,203.24</w:t>
                </w:r>
              </w:p>
            </w:tc>
            <w:tc>
              <w:tcPr>
                <w:tcW w:w="1408" w:type="dxa"/>
                <w:vAlign w:val="center"/>
              </w:tcPr>
              <w:p>
                <w:pPr>
                  <w:pStyle w:val="76"/>
                  <w:ind w:right="5"/>
                  <w:jc w:val="right"/>
                  <w:rPr>
                    <w:rFonts w:ascii="Arial Narrow" w:hAnsi="Arial Narrow"/>
                    <w:szCs w:val="21"/>
                  </w:rPr>
                </w:pPr>
                <w:r>
                  <w:rPr>
                    <w:rFonts w:ascii="Arial Narrow" w:hAnsi="Arial Narrow"/>
                  </w:rPr>
                  <w:t>280,381,784.41</w:t>
                </w:r>
              </w:p>
            </w:tc>
            <w:tc>
              <w:tcPr>
                <w:tcW w:w="996" w:type="dxa"/>
                <w:vAlign w:val="center"/>
              </w:tcPr>
              <w:p>
                <w:pPr>
                  <w:pStyle w:val="76"/>
                  <w:ind w:right="5"/>
                  <w:jc w:val="right"/>
                  <w:rPr>
                    <w:rFonts w:ascii="Arial Narrow" w:hAnsi="Arial Narrow"/>
                    <w:szCs w:val="21"/>
                  </w:rPr>
                </w:pPr>
              </w:p>
            </w:tc>
            <w:tc>
              <w:tcPr>
                <w:tcW w:w="1408" w:type="dxa"/>
                <w:vAlign w:val="center"/>
              </w:tcPr>
              <w:p>
                <w:pPr>
                  <w:pStyle w:val="76"/>
                  <w:ind w:right="5"/>
                  <w:jc w:val="right"/>
                  <w:rPr>
                    <w:rFonts w:ascii="Arial Narrow" w:hAnsi="Arial Narrow"/>
                    <w:szCs w:val="21"/>
                  </w:rPr>
                </w:pPr>
                <w:r>
                  <w:rPr>
                    <w:rFonts w:ascii="Arial Narrow" w:hAnsi="Arial Narrow"/>
                  </w:rPr>
                  <w:t>280,381,784.41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0ca95428ba542f3a9923064494ca3ec"/>
                <w:id w:val="25154709"/>
                <w:lock w:val="sdtLocked"/>
              </w:sdtPr>
              <w:sdtContent>
                <w:tc>
                  <w:tcPr>
                    <w:tcW w:w="1260" w:type="dxa"/>
                  </w:tcPr>
                  <w:p>
                    <w:pPr>
                      <w:pStyle w:val="76"/>
                      <w:ind w:right="5"/>
                      <w:rPr>
                        <w:szCs w:val="21"/>
                      </w:rPr>
                    </w:pPr>
                    <w:r>
                      <w:rPr>
                        <w:rFonts w:hint="eastAsia"/>
                        <w:szCs w:val="21"/>
                      </w:rPr>
                      <w:t>库存商品</w:t>
                    </w:r>
                  </w:p>
                </w:tc>
              </w:sdtContent>
            </w:sdt>
            <w:tc>
              <w:tcPr>
                <w:tcW w:w="1408" w:type="dxa"/>
                <w:vAlign w:val="center"/>
              </w:tcPr>
              <w:p>
                <w:pPr>
                  <w:pStyle w:val="76"/>
                  <w:ind w:right="5"/>
                  <w:jc w:val="right"/>
                  <w:rPr>
                    <w:rFonts w:ascii="Arial Narrow" w:hAnsi="Arial Narrow"/>
                    <w:szCs w:val="21"/>
                  </w:rPr>
                </w:pPr>
                <w:r>
                  <w:rPr>
                    <w:rFonts w:ascii="Arial Narrow" w:hAnsi="Arial Narrow"/>
                    <w:szCs w:val="21"/>
                  </w:rPr>
                  <w:t>183,725,988.69</w:t>
                </w:r>
              </w:p>
            </w:tc>
            <w:tc>
              <w:tcPr>
                <w:tcW w:w="1007" w:type="dxa"/>
                <w:vAlign w:val="center"/>
              </w:tcPr>
              <w:p>
                <w:pPr>
                  <w:pStyle w:val="76"/>
                  <w:ind w:right="5"/>
                  <w:jc w:val="right"/>
                  <w:rPr>
                    <w:rFonts w:ascii="Arial Narrow" w:hAnsi="Arial Narrow"/>
                    <w:szCs w:val="21"/>
                  </w:rPr>
                </w:pPr>
                <w:r>
                  <w:rPr>
                    <w:rFonts w:ascii="Arial Narrow" w:hAnsi="Arial Narrow"/>
                    <w:szCs w:val="21"/>
                  </w:rPr>
                  <w:t>58,779.11</w:t>
                </w:r>
              </w:p>
            </w:tc>
            <w:tc>
              <w:tcPr>
                <w:tcW w:w="1408" w:type="dxa"/>
                <w:vAlign w:val="center"/>
              </w:tcPr>
              <w:p>
                <w:pPr>
                  <w:pStyle w:val="76"/>
                  <w:ind w:right="5"/>
                  <w:jc w:val="right"/>
                  <w:rPr>
                    <w:rFonts w:ascii="Arial Narrow" w:hAnsi="Arial Narrow"/>
                    <w:szCs w:val="21"/>
                  </w:rPr>
                </w:pPr>
                <w:r>
                  <w:rPr>
                    <w:rFonts w:ascii="Arial Narrow" w:hAnsi="Arial Narrow"/>
                  </w:rPr>
                  <w:t>183,667,209.58</w:t>
                </w:r>
              </w:p>
            </w:tc>
            <w:tc>
              <w:tcPr>
                <w:tcW w:w="1408" w:type="dxa"/>
                <w:vAlign w:val="center"/>
              </w:tcPr>
              <w:p>
                <w:pPr>
                  <w:pStyle w:val="76"/>
                  <w:ind w:right="5"/>
                  <w:jc w:val="right"/>
                  <w:rPr>
                    <w:rFonts w:ascii="Arial Narrow" w:hAnsi="Arial Narrow"/>
                    <w:szCs w:val="21"/>
                  </w:rPr>
                </w:pPr>
                <w:r>
                  <w:rPr>
                    <w:rFonts w:ascii="Arial Narrow" w:hAnsi="Arial Narrow"/>
                  </w:rPr>
                  <w:t>403,494,080.50</w:t>
                </w:r>
              </w:p>
            </w:tc>
            <w:tc>
              <w:tcPr>
                <w:tcW w:w="996" w:type="dxa"/>
                <w:vAlign w:val="center"/>
              </w:tcPr>
              <w:p>
                <w:pPr>
                  <w:pStyle w:val="76"/>
                  <w:ind w:right="5"/>
                  <w:jc w:val="right"/>
                  <w:rPr>
                    <w:rFonts w:ascii="Arial Narrow" w:hAnsi="Arial Narrow"/>
                    <w:szCs w:val="21"/>
                  </w:rPr>
                </w:pPr>
                <w:r>
                  <w:rPr>
                    <w:rFonts w:ascii="Arial Narrow" w:hAnsi="Arial Narrow"/>
                  </w:rPr>
                  <w:t>64,884.71</w:t>
                </w:r>
              </w:p>
            </w:tc>
            <w:tc>
              <w:tcPr>
                <w:tcW w:w="1408" w:type="dxa"/>
                <w:vAlign w:val="center"/>
              </w:tcPr>
              <w:p>
                <w:pPr>
                  <w:pStyle w:val="76"/>
                  <w:ind w:right="5"/>
                  <w:jc w:val="right"/>
                  <w:rPr>
                    <w:rFonts w:ascii="Arial Narrow" w:hAnsi="Arial Narrow"/>
                    <w:szCs w:val="21"/>
                  </w:rPr>
                </w:pPr>
                <w:r>
                  <w:rPr>
                    <w:rFonts w:ascii="Arial Narrow" w:hAnsi="Arial Narrow"/>
                  </w:rPr>
                  <w:t>403,429,195.79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15ac625823f49a6b6c0477632bfb256"/>
                <w:id w:val="25154710"/>
                <w:lock w:val="sdtLocked"/>
              </w:sdtPr>
              <w:sdtContent>
                <w:tc>
                  <w:tcPr>
                    <w:tcW w:w="1260" w:type="dxa"/>
                  </w:tcPr>
                  <w:p>
                    <w:pPr>
                      <w:pStyle w:val="76"/>
                      <w:ind w:right="5"/>
                      <w:jc w:val="center"/>
                      <w:rPr>
                        <w:szCs w:val="21"/>
                      </w:rPr>
                    </w:pPr>
                    <w:r>
                      <w:rPr>
                        <w:rFonts w:hint="eastAsia"/>
                        <w:szCs w:val="21"/>
                      </w:rPr>
                      <w:t>合计</w:t>
                    </w:r>
                  </w:p>
                </w:tc>
              </w:sdtContent>
            </w:sdt>
            <w:tc>
              <w:tcPr>
                <w:tcW w:w="1408" w:type="dxa"/>
                <w:vAlign w:val="center"/>
              </w:tcPr>
              <w:p>
                <w:pPr>
                  <w:pStyle w:val="76"/>
                  <w:ind w:right="5"/>
                  <w:jc w:val="right"/>
                  <w:rPr>
                    <w:rFonts w:ascii="Arial Narrow" w:hAnsi="Arial Narrow"/>
                    <w:szCs w:val="21"/>
                  </w:rPr>
                </w:pPr>
                <w:r>
                  <w:rPr>
                    <w:rFonts w:ascii="Arial Narrow" w:hAnsi="Arial Narrow"/>
                    <w:szCs w:val="21"/>
                  </w:rPr>
                  <w:t>4,754,766,352.25</w:t>
                </w:r>
              </w:p>
            </w:tc>
            <w:tc>
              <w:tcPr>
                <w:tcW w:w="1007" w:type="dxa"/>
                <w:vAlign w:val="center"/>
              </w:tcPr>
              <w:p>
                <w:pPr>
                  <w:pStyle w:val="76"/>
                  <w:ind w:right="5"/>
                  <w:jc w:val="right"/>
                  <w:rPr>
                    <w:rFonts w:ascii="Arial Narrow" w:hAnsi="Arial Narrow"/>
                    <w:szCs w:val="21"/>
                  </w:rPr>
                </w:pPr>
                <w:r>
                  <w:rPr>
                    <w:rFonts w:ascii="Arial Narrow" w:hAnsi="Arial Narrow"/>
                  </w:rPr>
                  <w:t>58,779.11</w:t>
                </w:r>
              </w:p>
            </w:tc>
            <w:tc>
              <w:tcPr>
                <w:tcW w:w="1408" w:type="dxa"/>
                <w:vAlign w:val="center"/>
              </w:tcPr>
              <w:p>
                <w:pPr>
                  <w:pStyle w:val="76"/>
                  <w:ind w:right="5"/>
                  <w:jc w:val="right"/>
                  <w:rPr>
                    <w:rFonts w:ascii="Arial Narrow" w:hAnsi="Arial Narrow"/>
                    <w:szCs w:val="21"/>
                  </w:rPr>
                </w:pPr>
                <w:r>
                  <w:rPr>
                    <w:rFonts w:ascii="Arial Narrow" w:hAnsi="Arial Narrow"/>
                  </w:rPr>
                  <w:t>4,754,707,573.14</w:t>
                </w:r>
              </w:p>
            </w:tc>
            <w:tc>
              <w:tcPr>
                <w:tcW w:w="1408" w:type="dxa"/>
                <w:vAlign w:val="center"/>
              </w:tcPr>
              <w:p>
                <w:pPr>
                  <w:pStyle w:val="76"/>
                  <w:ind w:right="5"/>
                  <w:jc w:val="right"/>
                  <w:rPr>
                    <w:rFonts w:ascii="Arial Narrow" w:hAnsi="Arial Narrow"/>
                    <w:szCs w:val="21"/>
                  </w:rPr>
                </w:pPr>
                <w:r>
                  <w:rPr>
                    <w:rFonts w:ascii="Arial Narrow" w:hAnsi="Arial Narrow"/>
                  </w:rPr>
                  <w:t>4,769,470,328.62</w:t>
                </w:r>
              </w:p>
            </w:tc>
            <w:tc>
              <w:tcPr>
                <w:tcW w:w="996" w:type="dxa"/>
                <w:vAlign w:val="center"/>
              </w:tcPr>
              <w:p>
                <w:pPr>
                  <w:pStyle w:val="76"/>
                  <w:ind w:right="5"/>
                  <w:jc w:val="right"/>
                  <w:rPr>
                    <w:rFonts w:ascii="Arial Narrow" w:hAnsi="Arial Narrow"/>
                    <w:szCs w:val="21"/>
                  </w:rPr>
                </w:pPr>
                <w:r>
                  <w:rPr>
                    <w:rFonts w:ascii="Arial Narrow" w:hAnsi="Arial Narrow"/>
                  </w:rPr>
                  <w:t>64,884.71</w:t>
                </w:r>
              </w:p>
            </w:tc>
            <w:tc>
              <w:tcPr>
                <w:tcW w:w="1408" w:type="dxa"/>
                <w:vAlign w:val="center"/>
              </w:tcPr>
              <w:p>
                <w:pPr>
                  <w:pStyle w:val="76"/>
                  <w:ind w:right="5"/>
                  <w:jc w:val="right"/>
                  <w:rPr>
                    <w:rFonts w:ascii="Arial Narrow" w:hAnsi="Arial Narrow"/>
                    <w:szCs w:val="21"/>
                  </w:rPr>
                </w:pPr>
                <w:r>
                  <w:rPr>
                    <w:rFonts w:ascii="Arial Narrow" w:hAnsi="Arial Narrow"/>
                  </w:rPr>
                  <w:t>4,769,405,443.91</w:t>
                </w:r>
              </w:p>
            </w:tc>
          </w:tr>
        </w:tbl>
        <w:p>
          <w:pPr>
            <w:pStyle w:val="76"/>
          </w:pPr>
        </w:p>
      </w:sdtContent>
    </w:sdt>
    <w:p>
      <w:pPr>
        <w:pStyle w:val="76"/>
        <w:snapToGrid w:val="0"/>
        <w:spacing w:line="240" w:lineRule="atLeast"/>
        <w:rPr>
          <w:color w:val="FF6600"/>
          <w:szCs w:val="21"/>
        </w:rPr>
      </w:pPr>
    </w:p>
    <w:sdt>
      <w:sdtPr>
        <w:rPr>
          <w:rFonts w:hint="eastAsia" w:ascii="宋体" w:hAnsi="宋体" w:cs="宋体"/>
          <w:b w:val="0"/>
          <w:bCs w:val="0"/>
          <w:kern w:val="0"/>
          <w:szCs w:val="24"/>
        </w:rPr>
        <w:alias w:val="模块:存货跌价准备"/>
        <w:tag w:val="_GBC_d00b46c41ac84794bd1f7b10e97923a0"/>
        <w:id w:val="25154728"/>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53"/>
            </w:numPr>
            <w:tabs>
              <w:tab w:val="left" w:pos="630"/>
            </w:tabs>
          </w:pPr>
          <w:r>
            <w:rPr>
              <w:rFonts w:hint="eastAsia"/>
            </w:rPr>
            <w:t>存货跌价准备</w:t>
          </w:r>
        </w:p>
        <w:sdt>
          <w:sdtPr>
            <w:alias w:val="是否适用：存货跌价准备[双击切换]"/>
            <w:tag w:val="_GBC_b9bd4a0fa089468ebded8bb61a86fbae"/>
            <w:id w:val="2515471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存货跌价准备"/>
              <w:tag w:val="_GBC_42225a9505da4f598594afea08f9738b"/>
              <w:id w:val="251547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251547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174"/>
            <w:gridCol w:w="1191"/>
            <w:gridCol w:w="1191"/>
            <w:gridCol w:w="1202"/>
            <w:gridCol w:w="11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sdt>
              <w:sdtPr>
                <w:tag w:val="_PLD_08d27e088675483b81e6b09cfaf565b8"/>
                <w:id w:val="25154715"/>
                <w:lock w:val="sdtLocked"/>
              </w:sdtPr>
              <w:sdtContent>
                <w:tc>
                  <w:tcPr>
                    <w:tcW w:w="1914"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项目</w:t>
                    </w:r>
                  </w:p>
                </w:tc>
              </w:sdtContent>
            </w:sdt>
            <w:sdt>
              <w:sdtPr>
                <w:tag w:val="_PLD_631ae60526c9437f842913d632c47f24"/>
                <w:id w:val="25154716"/>
                <w:lock w:val="sdtLocked"/>
              </w:sdtPr>
              <w:sdtContent>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期初余额</w:t>
                    </w:r>
                  </w:p>
                </w:tc>
              </w:sdtContent>
            </w:sdt>
            <w:sdt>
              <w:sdtPr>
                <w:tag w:val="_PLD_bc39054479074b8ab34cb8519780a5f1"/>
                <w:id w:val="25154717"/>
                <w:lock w:val="sdtLocked"/>
              </w:sdtPr>
              <w:sdtContent>
                <w:tc>
                  <w:tcPr>
                    <w:tcW w:w="2382" w:type="dxa"/>
                    <w:gridSpan w:val="2"/>
                    <w:tcBorders>
                      <w:top w:val="single" w:color="auto" w:sz="4" w:space="0"/>
                      <w:left w:val="single" w:color="auto" w:sz="4" w:space="0"/>
                      <w:right w:val="single" w:color="auto" w:sz="4" w:space="0"/>
                    </w:tcBorders>
                    <w:vAlign w:val="center"/>
                  </w:tcPr>
                  <w:p>
                    <w:pPr>
                      <w:pStyle w:val="76"/>
                      <w:jc w:val="center"/>
                      <w:rPr>
                        <w:szCs w:val="21"/>
                      </w:rPr>
                    </w:pPr>
                    <w:r>
                      <w:rPr>
                        <w:rFonts w:hint="eastAsia"/>
                        <w:szCs w:val="21"/>
                      </w:rPr>
                      <w:t>本期增加金额</w:t>
                    </w:r>
                  </w:p>
                </w:tc>
              </w:sdtContent>
            </w:sdt>
            <w:sdt>
              <w:sdtPr>
                <w:tag w:val="_PLD_a4a235b43e524c0c98a604df05693747"/>
                <w:id w:val="25154718"/>
                <w:lock w:val="sdtLocked"/>
              </w:sdtPr>
              <w:sdtContent>
                <w:tc>
                  <w:tcPr>
                    <w:tcW w:w="2395" w:type="dxa"/>
                    <w:gridSpan w:val="2"/>
                    <w:tcBorders>
                      <w:top w:val="single" w:color="auto" w:sz="4" w:space="0"/>
                      <w:left w:val="single" w:color="auto" w:sz="4" w:space="0"/>
                      <w:right w:val="single" w:color="auto" w:sz="4" w:space="0"/>
                    </w:tcBorders>
                    <w:vAlign w:val="center"/>
                  </w:tcPr>
                  <w:p>
                    <w:pPr>
                      <w:pStyle w:val="76"/>
                      <w:jc w:val="center"/>
                      <w:rPr>
                        <w:szCs w:val="21"/>
                      </w:rPr>
                    </w:pPr>
                    <w:r>
                      <w:rPr>
                        <w:rFonts w:hint="eastAsia"/>
                        <w:szCs w:val="21"/>
                      </w:rPr>
                      <w:t>本期减少金额</w:t>
                    </w:r>
                  </w:p>
                </w:tc>
              </w:sdtContent>
            </w:sdt>
            <w:sdt>
              <w:sdtPr>
                <w:tag w:val="_PLD_fcea706dd57f438c8205de888401e160"/>
                <w:id w:val="25154719"/>
                <w:lock w:val="sdtLocked"/>
              </w:sdtPr>
              <w:sdtContent>
                <w:tc>
                  <w:tcPr>
                    <w:tcW w:w="1184"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914" w:type="dxa"/>
                <w:vMerge w:val="continue"/>
                <w:tcBorders>
                  <w:top w:val="single" w:color="auto" w:sz="4" w:space="0"/>
                  <w:left w:val="single" w:color="auto" w:sz="4" w:space="0"/>
                  <w:bottom w:val="single" w:color="auto" w:sz="4" w:space="0"/>
                  <w:right w:val="single" w:color="auto" w:sz="4" w:space="0"/>
                </w:tcBorders>
              </w:tcPr>
              <w:p>
                <w:pPr>
                  <w:pStyle w:val="76"/>
                  <w:jc w:val="center"/>
                  <w:rPr>
                    <w:szCs w:val="21"/>
                  </w:rPr>
                </w:pPr>
              </w:p>
            </w:tc>
            <w:tc>
              <w:tcPr>
                <w:tcW w:w="1174" w:type="dxa"/>
                <w:vMerge w:val="continue"/>
                <w:tcBorders>
                  <w:top w:val="single" w:color="auto" w:sz="4" w:space="0"/>
                  <w:left w:val="single" w:color="auto" w:sz="4" w:space="0"/>
                  <w:bottom w:val="single" w:color="auto" w:sz="4" w:space="0"/>
                  <w:right w:val="single" w:color="auto" w:sz="4" w:space="0"/>
                </w:tcBorders>
              </w:tcPr>
              <w:p>
                <w:pPr>
                  <w:pStyle w:val="76"/>
                  <w:jc w:val="center"/>
                  <w:rPr>
                    <w:szCs w:val="21"/>
                  </w:rPr>
                </w:pPr>
              </w:p>
            </w:tc>
            <w:sdt>
              <w:sdtPr>
                <w:tag w:val="_PLD_9355443eafab4f4a862c075a55d7e279"/>
                <w:id w:val="25154720"/>
                <w:lock w:val="sdtLocked"/>
              </w:sdtPr>
              <w:sdtContent>
                <w:tc>
                  <w:tcPr>
                    <w:tcW w:w="1191" w:type="dxa"/>
                    <w:tcBorders>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计提</w:t>
                    </w:r>
                  </w:p>
                </w:tc>
              </w:sdtContent>
            </w:sdt>
            <w:sdt>
              <w:sdtPr>
                <w:tag w:val="_PLD_e67cdd42c79245c980edb6a9d839ecd0"/>
                <w:id w:val="25154721"/>
                <w:lock w:val="sdtLocked"/>
              </w:sdtPr>
              <w:sdtContent>
                <w:tc>
                  <w:tcPr>
                    <w:tcW w:w="1191" w:type="dxa"/>
                    <w:tcBorders>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其他</w:t>
                    </w:r>
                  </w:p>
                </w:tc>
              </w:sdtContent>
            </w:sdt>
            <w:sdt>
              <w:sdtPr>
                <w:tag w:val="_PLD_d2a5b409858c40b5a77dea8d7f7c8500"/>
                <w:id w:val="25154722"/>
                <w:lock w:val="sdtLocked"/>
              </w:sdtPr>
              <w:sdtContent>
                <w:tc>
                  <w:tcPr>
                    <w:tcW w:w="1202"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转回或转销</w:t>
                    </w:r>
                  </w:p>
                </w:tc>
              </w:sdtContent>
            </w:sdt>
            <w:sdt>
              <w:sdtPr>
                <w:tag w:val="_PLD_a0a39eeb19a049d18a777b0dc41ab25e"/>
                <w:id w:val="25154723"/>
                <w:lock w:val="sdtLocked"/>
              </w:sdtPr>
              <w:sdtContent>
                <w:tc>
                  <w:tcPr>
                    <w:tcW w:w="1193"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其他</w:t>
                    </w:r>
                  </w:p>
                </w:tc>
              </w:sdtContent>
            </w:sdt>
            <w:tc>
              <w:tcPr>
                <w:tcW w:w="1184" w:type="dxa"/>
                <w:vMerge w:val="continue"/>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c1481e0b38784604952d1b8f75adf1fa"/>
                <w:id w:val="25154724"/>
                <w:lock w:val="sdtLocked"/>
              </w:sdtPr>
              <w:sdtContent>
                <w:tc>
                  <w:tcPr>
                    <w:tcW w:w="1914"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原材料</w:t>
                    </w:r>
                  </w:p>
                </w:tc>
              </w:sdtContent>
            </w:sdt>
            <w:tc>
              <w:tcPr>
                <w:tcW w:w="117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202"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3"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8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caee3bbcb5684298baf9a05a47151d5c"/>
                <w:id w:val="25154725"/>
                <w:lock w:val="sdtLocked"/>
              </w:sdtPr>
              <w:sdtContent>
                <w:tc>
                  <w:tcPr>
                    <w:tcW w:w="1914"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在产品</w:t>
                    </w:r>
                  </w:p>
                </w:tc>
              </w:sdtContent>
            </w:sdt>
            <w:tc>
              <w:tcPr>
                <w:tcW w:w="117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202"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3" w:type="dxa"/>
                <w:tcBorders>
                  <w:top w:val="single" w:color="auto" w:sz="4" w:space="0"/>
                  <w:left w:val="single" w:color="auto" w:sz="4" w:space="0"/>
                  <w:right w:val="single" w:color="auto" w:sz="4" w:space="0"/>
                </w:tcBorders>
              </w:tcPr>
              <w:p>
                <w:pPr>
                  <w:pStyle w:val="76"/>
                  <w:jc w:val="right"/>
                  <w:rPr>
                    <w:szCs w:val="21"/>
                  </w:rPr>
                </w:pPr>
              </w:p>
            </w:tc>
            <w:tc>
              <w:tcPr>
                <w:tcW w:w="118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2d5756cc0cf342bb9a74d89236e6d498"/>
                <w:id w:val="25154726"/>
                <w:lock w:val="sdtLocked"/>
              </w:sdtPr>
              <w:sdtContent>
                <w:tc>
                  <w:tcPr>
                    <w:tcW w:w="1914"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库存商品</w:t>
                    </w:r>
                  </w:p>
                </w:tc>
              </w:sdtContent>
            </w:sdt>
            <w:tc>
              <w:tcPr>
                <w:tcW w:w="117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r>
                  <w:t>64,884.71</w:t>
                </w: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202" w:type="dxa"/>
                <w:tcBorders>
                  <w:top w:val="single" w:color="auto" w:sz="4" w:space="0"/>
                  <w:left w:val="single" w:color="auto" w:sz="4" w:space="0"/>
                  <w:bottom w:val="single" w:color="auto" w:sz="4" w:space="0"/>
                  <w:right w:val="single" w:color="auto" w:sz="4" w:space="0"/>
                </w:tcBorders>
              </w:tcPr>
              <w:p>
                <w:pPr>
                  <w:pStyle w:val="76"/>
                  <w:jc w:val="right"/>
                  <w:rPr>
                    <w:szCs w:val="21"/>
                  </w:rPr>
                </w:pPr>
                <w:r>
                  <w:rPr>
                    <w:szCs w:val="21"/>
                  </w:rPr>
                  <w:t>6,105.60</w:t>
                </w:r>
              </w:p>
            </w:tc>
            <w:tc>
              <w:tcPr>
                <w:tcW w:w="1193" w:type="dxa"/>
                <w:tcBorders>
                  <w:left w:val="single" w:color="auto" w:sz="4" w:space="0"/>
                  <w:right w:val="single" w:color="auto" w:sz="4" w:space="0"/>
                </w:tcBorders>
              </w:tcPr>
              <w:p>
                <w:pPr>
                  <w:pStyle w:val="76"/>
                  <w:jc w:val="right"/>
                  <w:rPr>
                    <w:szCs w:val="21"/>
                  </w:rPr>
                </w:pPr>
              </w:p>
            </w:tc>
            <w:tc>
              <w:tcPr>
                <w:tcW w:w="118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r>
                  <w:t>58,779.11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cb1768e916f04c1d8cc6e1efb4624f54"/>
                <w:id w:val="25154727"/>
                <w:lock w:val="sdtLocked"/>
              </w:sdtPr>
              <w:sdtContent>
                <w:tc>
                  <w:tcPr>
                    <w:tcW w:w="1914" w:type="dxa"/>
                    <w:tcBorders>
                      <w:top w:val="single" w:color="auto" w:sz="4" w:space="0"/>
                      <w:left w:val="single" w:color="auto" w:sz="4" w:space="0"/>
                      <w:bottom w:val="single" w:color="auto" w:sz="4" w:space="0"/>
                      <w:right w:val="single" w:color="auto" w:sz="4" w:space="0"/>
                    </w:tcBorders>
                  </w:tcPr>
                  <w:p>
                    <w:pPr>
                      <w:pStyle w:val="76"/>
                      <w:jc w:val="center"/>
                      <w:rPr>
                        <w:szCs w:val="21"/>
                      </w:rPr>
                    </w:pPr>
                    <w:r>
                      <w:rPr>
                        <w:rFonts w:hint="eastAsia"/>
                        <w:szCs w:val="21"/>
                      </w:rPr>
                      <w:t>合计</w:t>
                    </w:r>
                  </w:p>
                </w:tc>
              </w:sdtContent>
            </w:sdt>
            <w:tc>
              <w:tcPr>
                <w:tcW w:w="117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r>
                  <w:t>64,884.71</w:t>
                </w: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202" w:type="dxa"/>
                <w:tcBorders>
                  <w:top w:val="single" w:color="auto" w:sz="4" w:space="0"/>
                  <w:left w:val="single" w:color="auto" w:sz="4" w:space="0"/>
                  <w:bottom w:val="single" w:color="auto" w:sz="4" w:space="0"/>
                  <w:right w:val="single" w:color="auto" w:sz="4" w:space="0"/>
                </w:tcBorders>
              </w:tcPr>
              <w:p>
                <w:pPr>
                  <w:pStyle w:val="76"/>
                  <w:jc w:val="right"/>
                  <w:rPr>
                    <w:szCs w:val="21"/>
                  </w:rPr>
                </w:pPr>
                <w:r>
                  <w:rPr>
                    <w:szCs w:val="21"/>
                  </w:rPr>
                  <w:t>6,105.60</w:t>
                </w:r>
              </w:p>
            </w:tc>
            <w:tc>
              <w:tcPr>
                <w:tcW w:w="1193" w:type="dxa"/>
                <w:tcBorders>
                  <w:left w:val="single" w:color="auto" w:sz="4" w:space="0"/>
                  <w:bottom w:val="single" w:color="auto" w:sz="4" w:space="0"/>
                  <w:right w:val="single" w:color="auto" w:sz="4" w:space="0"/>
                </w:tcBorders>
              </w:tcPr>
              <w:p>
                <w:pPr>
                  <w:pStyle w:val="76"/>
                  <w:jc w:val="right"/>
                  <w:rPr>
                    <w:szCs w:val="21"/>
                  </w:rPr>
                </w:pPr>
              </w:p>
            </w:tc>
            <w:tc>
              <w:tcPr>
                <w:tcW w:w="1184" w:type="dxa"/>
                <w:tcBorders>
                  <w:top w:val="single" w:color="auto" w:sz="4" w:space="0"/>
                  <w:left w:val="single" w:color="auto" w:sz="4" w:space="0"/>
                  <w:bottom w:val="single" w:color="auto" w:sz="4" w:space="0"/>
                  <w:right w:val="single" w:color="auto" w:sz="4" w:space="0"/>
                </w:tcBorders>
              </w:tcPr>
              <w:p>
                <w:pPr>
                  <w:pStyle w:val="76"/>
                  <w:ind w:right="5"/>
                  <w:jc w:val="right"/>
                  <w:rPr>
                    <w:szCs w:val="21"/>
                  </w:rPr>
                </w:pPr>
                <w:r>
                  <w:t>58,779.11</w:t>
                </w:r>
              </w:p>
            </w:tc>
          </w:tr>
        </w:tbl>
        <w:p>
          <w:pPr>
            <w:pStyle w:val="76"/>
          </w:pPr>
        </w:p>
      </w:sdtContent>
    </w:sdt>
    <w:sdt>
      <w:sdtPr>
        <w:rPr>
          <w:rFonts w:hint="eastAsia" w:ascii="宋体" w:hAnsi="宋体" w:cs="宋体"/>
          <w:b w:val="0"/>
          <w:bCs w:val="0"/>
          <w:kern w:val="0"/>
          <w:szCs w:val="24"/>
        </w:rPr>
        <w:alias w:val="模块:存货期末余额含有借款费用资本化金额的说明："/>
        <w:tag w:val="_GBC_dc559aaf0bf0428386e2f7f2cdeb43ec"/>
        <w:id w:val="25154730"/>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53"/>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25154729"/>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hint="eastAsia" w:ascii="Times New Roman" w:hAnsi="Times New Roman" w:cs="宋体"/>
          <w:b w:val="0"/>
          <w:bCs w:val="0"/>
          <w:kern w:val="0"/>
          <w:szCs w:val="24"/>
        </w:rPr>
        <w:alias w:val="模块:建造合同形成的已完工未结算资产情况："/>
        <w:tag w:val="_GBC_fe30d9ed40ad49329a2ea79b256856e5"/>
        <w:id w:val="2515473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53"/>
            </w:numPr>
            <w:tabs>
              <w:tab w:val="left" w:pos="630"/>
            </w:tabs>
          </w:pPr>
          <w:r>
            <w:rPr>
              <w:rFonts w:hint="eastAsia" w:ascii="Times New Roman" w:hAnsi="Times New Roman" w:cs="宋体"/>
              <w:bCs w:val="0"/>
              <w:kern w:val="0"/>
              <w:szCs w:val="24"/>
            </w:rPr>
            <w:t>期末</w:t>
          </w:r>
          <w:r>
            <w:rPr>
              <w:rFonts w:hint="eastAsia"/>
            </w:rPr>
            <w:t>建造合同形成的已完工未结算资产情况：</w:t>
          </w:r>
        </w:p>
        <w:sdt>
          <w:sdtPr>
            <w:alias w:val="是否适用：期末建造合同形成的已完工未结算资产情况[双击切换]"/>
            <w:tag w:val="_GBC_2e40d88c06744ade9117597fa8a0747f"/>
            <w:id w:val="2515473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r>
            <w:rPr>
              <w:rFonts w:hint="eastAsia"/>
            </w:rPr>
            <w:t>其他说明</w:t>
          </w:r>
        </w:p>
        <w:sdt>
          <w:sdtPr>
            <w:alias w:val="是否适用：建造合同形成的已完工未结算资产的其他说明[双击切换]"/>
            <w:tag w:val="_GBC_c492a3264a1b4245b4a030b86f62363a"/>
            <w:id w:val="2515473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hint="eastAsia" w:ascii="宋体" w:hAnsi="宋体" w:cs="宋体"/>
          <w:b w:val="0"/>
          <w:bCs w:val="0"/>
          <w:kern w:val="0"/>
          <w:szCs w:val="24"/>
        </w:rPr>
        <w:alias w:val="模块:划分为持有待售的资产"/>
        <w:tag w:val="_GBC_b8017c342539428893a6ec198dd061b3"/>
        <w:id w:val="25154735"/>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46"/>
            </w:numPr>
            <w:tabs>
              <w:tab w:val="left" w:pos="504"/>
            </w:tabs>
          </w:pPr>
          <w:r>
            <w:rPr>
              <w:rFonts w:hint="eastAsia"/>
            </w:rPr>
            <w:t>持有待售资产</w:t>
          </w:r>
        </w:p>
        <w:sdt>
          <w:sdtPr>
            <w:alias w:val="是否适用：划分为持有待售的资产[双击切换]"/>
            <w:tag w:val="_GBC_a6517e0f93e04b1caa2e45201c8133b1"/>
            <w:id w:val="2515473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ind w:right="210"/>
      </w:pPr>
    </w:p>
    <w:sdt>
      <w:sdtPr>
        <w:rPr>
          <w:rFonts w:hint="eastAsia" w:ascii="宋体" w:hAnsi="宋体" w:cs="宋体"/>
          <w:b w:val="0"/>
          <w:bCs w:val="0"/>
          <w:kern w:val="0"/>
          <w:szCs w:val="24"/>
        </w:rPr>
        <w:alias w:val="模块:一年内到期的非流动资产"/>
        <w:tag w:val="_GBC_73afc3711ce24918b57d8c069abaf5c5"/>
        <w:id w:val="25154737"/>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46"/>
            </w:numPr>
            <w:tabs>
              <w:tab w:val="left" w:pos="504"/>
            </w:tabs>
          </w:pPr>
          <w:r>
            <w:rPr>
              <w:rFonts w:hint="eastAsia"/>
            </w:rPr>
            <w:t>一年内到期的非流动资产</w:t>
          </w:r>
        </w:p>
        <w:sdt>
          <w:sdtPr>
            <w:alias w:val="是否适用：一年内到期的非流动资产[双击切换]"/>
            <w:tag w:val="_GBC_3c3df002388d4bbe8dd8d4df7fe26ebc"/>
            <w:id w:val="2515473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ind w:right="210"/>
          </w:pPr>
        </w:p>
      </w:sdtContent>
    </w:sdt>
    <w:p>
      <w:pPr>
        <w:pStyle w:val="76"/>
        <w:ind w:right="210"/>
      </w:pPr>
    </w:p>
    <w:sdt>
      <w:sdtPr>
        <w:rPr>
          <w:rFonts w:hint="eastAsia" w:ascii="宋体" w:hAnsi="宋体" w:cs="宋体"/>
          <w:b w:val="0"/>
          <w:bCs w:val="0"/>
          <w:kern w:val="0"/>
          <w:szCs w:val="24"/>
        </w:rPr>
        <w:alias w:val="模块:其他流动资产"/>
        <w:tag w:val="_GBC_e29fd29bee934fc3ab8325cf3625b905"/>
        <w:id w:val="25154747"/>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46"/>
            </w:numPr>
            <w:tabs>
              <w:tab w:val="left" w:pos="504"/>
            </w:tabs>
          </w:pPr>
          <w:r>
            <w:rPr>
              <w:rFonts w:hint="eastAsia"/>
            </w:rPr>
            <w:t>其他流动资产</w:t>
          </w:r>
        </w:p>
        <w:sdt>
          <w:sdtPr>
            <w:alias w:val="是否适用：其他流动资产[双击切换]"/>
            <w:tag w:val="_GBC_7733d50365e24328b41020152f88028d"/>
            <w:id w:val="251547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其他流动资产"/>
              <w:tag w:val="_GBC_d0c62fc75d164678ad203d9ddb106538"/>
              <w:id w:val="251547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251547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2917"/>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8a45ec418604a96aaeca20062ae6ec0"/>
                <w:id w:val="25154741"/>
                <w:lock w:val="sdtLocked"/>
              </w:sdtPr>
              <w:sdtContent>
                <w:tc>
                  <w:tcPr>
                    <w:tcW w:w="3287" w:type="dxa"/>
                    <w:shd w:val="clear" w:color="auto" w:fill="auto"/>
                    <w:vAlign w:val="center"/>
                  </w:tcPr>
                  <w:p>
                    <w:pPr>
                      <w:pStyle w:val="76"/>
                      <w:jc w:val="center"/>
                      <w:rPr>
                        <w:szCs w:val="21"/>
                      </w:rPr>
                    </w:pPr>
                    <w:r>
                      <w:rPr>
                        <w:rFonts w:hint="eastAsia"/>
                        <w:szCs w:val="21"/>
                      </w:rPr>
                      <w:t>项目</w:t>
                    </w:r>
                  </w:p>
                </w:tc>
              </w:sdtContent>
            </w:sdt>
            <w:sdt>
              <w:sdtPr>
                <w:tag w:val="_PLD_a66a826fd4f94204abf2e2ebb8841b20"/>
                <w:id w:val="25154742"/>
                <w:lock w:val="sdtLocked"/>
              </w:sdtPr>
              <w:sdtContent>
                <w:tc>
                  <w:tcPr>
                    <w:tcW w:w="2917" w:type="dxa"/>
                    <w:shd w:val="clear" w:color="auto" w:fill="auto"/>
                    <w:vAlign w:val="center"/>
                  </w:tcPr>
                  <w:p>
                    <w:pPr>
                      <w:pStyle w:val="76"/>
                      <w:jc w:val="center"/>
                      <w:rPr>
                        <w:szCs w:val="21"/>
                      </w:rPr>
                    </w:pPr>
                    <w:r>
                      <w:rPr>
                        <w:rFonts w:hint="eastAsia"/>
                        <w:szCs w:val="21"/>
                      </w:rPr>
                      <w:t>期末余额</w:t>
                    </w:r>
                  </w:p>
                </w:tc>
              </w:sdtContent>
            </w:sdt>
            <w:sdt>
              <w:sdtPr>
                <w:tag w:val="_PLD_eaab23cdfdb843058cdcb665d954a732"/>
                <w:id w:val="25154743"/>
                <w:lock w:val="sdtLocked"/>
              </w:sdtPr>
              <w:sdtContent>
                <w:tc>
                  <w:tcPr>
                    <w:tcW w:w="2845" w:type="dxa"/>
                    <w:shd w:val="clear" w:color="auto" w:fill="auto"/>
                    <w:vAlign w:val="center"/>
                  </w:tcPr>
                  <w:p>
                    <w:pPr>
                      <w:pStyle w:val="76"/>
                      <w:jc w:val="center"/>
                      <w:rPr>
                        <w:szCs w:val="21"/>
                      </w:rPr>
                    </w:pPr>
                    <w:r>
                      <w:rPr>
                        <w:rFonts w:hint="eastAsia"/>
                        <w:szCs w:val="21"/>
                      </w:rPr>
                      <w:t>期初余额</w:t>
                    </w:r>
                  </w:p>
                </w:tc>
              </w:sdtContent>
            </w:sdt>
          </w:tr>
          <w:sdt>
            <w:sdtPr>
              <w:rPr>
                <w:rFonts w:hint="eastAsia"/>
                <w:szCs w:val="21"/>
              </w:rPr>
              <w:alias w:val="其他流动资产明细"/>
              <w:tag w:val="_GBC_82015f9c1bbc43889ec00141a14ae1f8"/>
              <w:id w:val="2515474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7" w:type="dxa"/>
                    <w:shd w:val="clear" w:color="auto" w:fill="auto"/>
                  </w:tcPr>
                  <w:p>
                    <w:pPr>
                      <w:pStyle w:val="76"/>
                      <w:snapToGrid w:val="0"/>
                      <w:ind w:left="-107" w:leftChars="-51"/>
                      <w:rPr>
                        <w:szCs w:val="21"/>
                      </w:rPr>
                    </w:pPr>
                    <w:r>
                      <w:t>待抵扣增值税</w:t>
                    </w:r>
                  </w:p>
                </w:tc>
                <w:tc>
                  <w:tcPr>
                    <w:tcW w:w="2917" w:type="dxa"/>
                    <w:shd w:val="clear" w:color="auto" w:fill="auto"/>
                  </w:tcPr>
                  <w:p>
                    <w:pPr>
                      <w:pStyle w:val="76"/>
                      <w:snapToGrid w:val="0"/>
                      <w:jc w:val="right"/>
                      <w:rPr>
                        <w:szCs w:val="21"/>
                      </w:rPr>
                    </w:pPr>
                    <w:r>
                      <w:rPr>
                        <w:rFonts w:hint="eastAsia"/>
                        <w:szCs w:val="21"/>
                      </w:rPr>
                      <w:t>21,971,483.76</w:t>
                    </w:r>
                  </w:p>
                </w:tc>
                <w:tc>
                  <w:tcPr>
                    <w:tcW w:w="2845" w:type="dxa"/>
                    <w:shd w:val="clear" w:color="auto" w:fill="auto"/>
                  </w:tcPr>
                  <w:p>
                    <w:pPr>
                      <w:pStyle w:val="76"/>
                      <w:snapToGrid w:val="0"/>
                      <w:jc w:val="right"/>
                      <w:rPr>
                        <w:szCs w:val="21"/>
                      </w:rPr>
                    </w:pPr>
                    <w:r>
                      <w:t>205,029.12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eb5509e5924a018aaafa15d57459e4"/>
                <w:id w:val="25154745"/>
                <w:lock w:val="sdtLocked"/>
              </w:sdtPr>
              <w:sdtContent>
                <w:tc>
                  <w:tcPr>
                    <w:tcW w:w="3287" w:type="dxa"/>
                    <w:shd w:val="clear" w:color="auto" w:fill="auto"/>
                    <w:vAlign w:val="center"/>
                  </w:tcPr>
                  <w:p>
                    <w:pPr>
                      <w:pStyle w:val="76"/>
                      <w:snapToGrid w:val="0"/>
                      <w:ind w:left="-107" w:leftChars="-51"/>
                      <w:jc w:val="center"/>
                      <w:rPr>
                        <w:szCs w:val="21"/>
                      </w:rPr>
                    </w:pPr>
                    <w:r>
                      <w:rPr>
                        <w:rFonts w:hint="eastAsia"/>
                        <w:szCs w:val="21"/>
                      </w:rPr>
                      <w:t>合计</w:t>
                    </w:r>
                  </w:p>
                </w:tc>
              </w:sdtContent>
            </w:sdt>
            <w:tc>
              <w:tcPr>
                <w:tcW w:w="2917" w:type="dxa"/>
                <w:shd w:val="clear" w:color="auto" w:fill="auto"/>
              </w:tcPr>
              <w:p>
                <w:pPr>
                  <w:pStyle w:val="76"/>
                  <w:snapToGrid w:val="0"/>
                  <w:jc w:val="right"/>
                  <w:rPr>
                    <w:szCs w:val="21"/>
                  </w:rPr>
                </w:pPr>
                <w:r>
                  <w:rPr>
                    <w:rFonts w:hint="eastAsia"/>
                    <w:szCs w:val="21"/>
                  </w:rPr>
                  <w:t>21,971,483.76</w:t>
                </w:r>
              </w:p>
            </w:tc>
            <w:tc>
              <w:tcPr>
                <w:tcW w:w="2845" w:type="dxa"/>
                <w:shd w:val="clear" w:color="auto" w:fill="auto"/>
              </w:tcPr>
              <w:p>
                <w:pPr>
                  <w:pStyle w:val="76"/>
                  <w:snapToGrid w:val="0"/>
                  <w:jc w:val="right"/>
                  <w:rPr>
                    <w:szCs w:val="21"/>
                  </w:rPr>
                </w:pPr>
                <w:r>
                  <w:t>205,029.12</w:t>
                </w:r>
              </w:p>
            </w:tc>
          </w:tr>
        </w:tbl>
        <w:p>
          <w:pPr>
            <w:pStyle w:val="76"/>
          </w:pPr>
        </w:p>
      </w:sdtContent>
    </w:sdt>
    <w:sdt>
      <w:sdtPr>
        <w:rPr>
          <w:rFonts w:hint="eastAsia" w:ascii="宋体" w:hAnsi="宋体" w:cs="宋体"/>
          <w:b w:val="0"/>
          <w:bCs w:val="0"/>
          <w:kern w:val="0"/>
          <w:szCs w:val="21"/>
        </w:rPr>
        <w:alias w:val="模块:可供出售金融资产情况"/>
        <w:tag w:val="_GBC_2f69616d9c724f45896f506b4cfb462d"/>
        <w:id w:val="25154749"/>
        <w:lock w:val="sdtLocked"/>
        <w:placeholder>
          <w:docPart w:val="GBC22222222222222222222222222222"/>
        </w:placeholder>
      </w:sdtPr>
      <w:sdtEndPr>
        <w:rPr>
          <w:rFonts w:hint="default" w:ascii="宋体" w:hAnsi="宋体" w:cstheme="minorBidi"/>
          <w:b w:val="0"/>
          <w:bCs w:val="0"/>
          <w:kern w:val="2"/>
          <w:szCs w:val="21"/>
        </w:rPr>
      </w:sdtEndPr>
      <w:sdtContent>
        <w:p>
          <w:pPr>
            <w:pStyle w:val="80"/>
            <w:numPr>
              <w:ilvl w:val="0"/>
              <w:numId w:val="54"/>
            </w:numPr>
            <w:tabs>
              <w:tab w:val="left" w:pos="644"/>
            </w:tabs>
            <w:rPr>
              <w:rFonts w:ascii="宋体" w:hAnsi="宋体"/>
              <w:szCs w:val="21"/>
            </w:rPr>
          </w:pPr>
          <w:r>
            <w:rPr>
              <w:rFonts w:hint="eastAsia" w:ascii="宋体" w:hAnsi="宋体"/>
              <w:szCs w:val="21"/>
            </w:rPr>
            <w:t>可供出售金融资产情况</w:t>
          </w:r>
        </w:p>
        <w:sdt>
          <w:sdtPr>
            <w:alias w:val="是否适用：可供出售金融资产情况[双击切换]"/>
            <w:tag w:val="_GBC_7293d0ec79d1468090d447858d67fb3c"/>
            <w:id w:val="2515474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截至报告期末可供出售金融资产的成本公允价值等金额"/>
        <w:tag w:val="_GBC_96fb15c5e2bf447ba4129d5212539044"/>
        <w:id w:val="25154751"/>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54"/>
            </w:numPr>
            <w:tabs>
              <w:tab w:val="left" w:pos="644"/>
            </w:tabs>
            <w:rPr>
              <w:rFonts w:ascii="宋体" w:hAnsi="宋体"/>
              <w:szCs w:val="21"/>
            </w:rPr>
          </w:pPr>
          <w:r>
            <w:rPr>
              <w:rFonts w:hint="eastAsia" w:ascii="宋体" w:hAnsi="宋体"/>
              <w:szCs w:val="21"/>
            </w:rPr>
            <w:t>期末按公允价值计量的可供出售金融资产</w:t>
          </w:r>
        </w:p>
        <w:p>
          <w:pPr>
            <w:pStyle w:val="76"/>
            <w:rPr>
              <w:szCs w:val="21"/>
            </w:rPr>
          </w:pPr>
          <w:sdt>
            <w:sdtPr>
              <w:alias w:val="是否适用：期末按公允价值计量的可供出售金融资产[双击切换]"/>
              <w:tag w:val="_GBC_844d18ee76424ecfad258159e274ec07"/>
              <w:id w:val="25154750"/>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theme="minorBidi"/>
          <w:b w:val="0"/>
          <w:bCs w:val="0"/>
          <w:kern w:val="0"/>
          <w:szCs w:val="21"/>
        </w:rPr>
        <w:alias w:val="模块:期末按成本计量的可供出售金融资产"/>
        <w:tag w:val="_GBC_5ec0cf5370fe4489aad1b71d05aaee33"/>
        <w:id w:val="25154753"/>
        <w:lock w:val="sdtLocked"/>
        <w:placeholder>
          <w:docPart w:val="GBC22222222222222222222222222222"/>
        </w:placeholder>
      </w:sdtPr>
      <w:sdtEndPr>
        <w:rPr>
          <w:rFonts w:ascii="宋体" w:hAnsi="宋体" w:cstheme="minorBidi"/>
          <w:b w:val="0"/>
          <w:bCs w:val="0"/>
          <w:kern w:val="0"/>
          <w:szCs w:val="21"/>
        </w:rPr>
      </w:sdtEndPr>
      <w:sdtContent>
        <w:p>
          <w:pPr>
            <w:pStyle w:val="80"/>
            <w:numPr>
              <w:ilvl w:val="0"/>
              <w:numId w:val="54"/>
            </w:numPr>
            <w:tabs>
              <w:tab w:val="left" w:pos="644"/>
            </w:tabs>
            <w:rPr>
              <w:rFonts w:ascii="宋体" w:hAnsi="宋体"/>
              <w:szCs w:val="21"/>
            </w:rPr>
          </w:pPr>
          <w:r>
            <w:rPr>
              <w:rFonts w:hint="eastAsia" w:ascii="宋体" w:hAnsi="宋体"/>
              <w:szCs w:val="21"/>
            </w:rPr>
            <w:t>期末按成本计量的可供出售金融资产</w:t>
          </w:r>
        </w:p>
        <w:sdt>
          <w:sdtPr>
            <w:alias w:val="是否适用：期末按成本计量的可供出售金融资产[双击切换]"/>
            <w:tag w:val="_GBC_7ecd5785880444cb9a697ef98d1535ee"/>
            <w:id w:val="2515475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报告期内可供出售金融资产减值的变动情况"/>
        <w:tag w:val="_GBC_571afc6f1136492bbe0a3ac029602917"/>
        <w:id w:val="25154755"/>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54"/>
            </w:numPr>
            <w:tabs>
              <w:tab w:val="left" w:pos="644"/>
            </w:tabs>
            <w:rPr>
              <w:rFonts w:ascii="宋体" w:hAnsi="宋体"/>
              <w:szCs w:val="21"/>
            </w:rPr>
          </w:pPr>
          <w:r>
            <w:rPr>
              <w:rFonts w:hint="eastAsia" w:ascii="宋体" w:hAnsi="宋体"/>
              <w:szCs w:val="21"/>
            </w:rPr>
            <w:t>报告期内可供出售金融资产减值的变动情况</w:t>
          </w:r>
        </w:p>
        <w:p>
          <w:pPr>
            <w:pStyle w:val="76"/>
            <w:rPr>
              <w:szCs w:val="21"/>
            </w:rPr>
          </w:pPr>
          <w:sdt>
            <w:sdtPr>
              <w:alias w:val="是否适用：报告期内可供出售金融资产减值的变动情况[双击切换]"/>
              <w:tag w:val="_GBC_a6d0c32b2b7d46b6a8e0e7ecc134cf63"/>
              <w:id w:val="25154754"/>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theme="minorBidi"/>
          <w:b w:val="0"/>
          <w:bCs w:val="0"/>
          <w:kern w:val="0"/>
          <w:szCs w:val="21"/>
        </w:rPr>
        <w:alias w:val="模块:可供出售权益工具期末公允价值大幅下跌或持续下跌相关说明"/>
        <w:tag w:val="_GBC_1f955512f79241d7b3b3b6ec3997bc5a"/>
        <w:id w:val="25154757"/>
        <w:lock w:val="sdtLocked"/>
        <w:placeholder>
          <w:docPart w:val="GBC22222222222222222222222222222"/>
        </w:placeholder>
      </w:sdtPr>
      <w:sdtEndPr>
        <w:rPr>
          <w:rFonts w:hint="eastAsia" w:ascii="宋体" w:hAnsi="宋体" w:cstheme="minorBidi"/>
          <w:b w:val="0"/>
          <w:bCs w:val="0"/>
          <w:kern w:val="0"/>
          <w:szCs w:val="21"/>
        </w:rPr>
      </w:sdtEndPr>
      <w:sdtContent>
        <w:p>
          <w:pPr>
            <w:pStyle w:val="80"/>
            <w:numPr>
              <w:ilvl w:val="0"/>
              <w:numId w:val="54"/>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2515475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其他可供出售金融资产情况"/>
        <w:tag w:val="_GBC_1e60012a34394d77ad69bb65870e6a54"/>
        <w:id w:val="25154759"/>
        <w:lock w:val="sdtLocked"/>
        <w:placeholder>
          <w:docPart w:val="GBC22222222222222222222222222222"/>
        </w:placeholder>
      </w:sdtPr>
      <w:sdtEndPr>
        <w:rPr>
          <w:rFonts w:hint="default" w:cstheme="minorBidi"/>
          <w:b w:val="0"/>
          <w:bCs w:val="0"/>
          <w:kern w:val="2"/>
          <w:szCs w:val="21"/>
        </w:rPr>
      </w:sdtEndPr>
      <w:sdtContent>
        <w:p>
          <w:pPr>
            <w:pStyle w:val="76"/>
          </w:pPr>
          <w:r>
            <w:rPr>
              <w:rFonts w:hint="eastAsia"/>
            </w:rPr>
            <w:t>其他说明</w:t>
          </w:r>
        </w:p>
        <w:sdt>
          <w:sdtPr>
            <w:alias w:val="是否适用：可供出售金融资产其他情况说明[双击切换]"/>
            <w:tag w:val="_GBC_d507c16d44b64c5ab5d15718e6a9e729"/>
            <w:id w:val="2515475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ind w:right="210"/>
      </w:pPr>
    </w:p>
    <w:p>
      <w:pPr>
        <w:pStyle w:val="79"/>
        <w:numPr>
          <w:ilvl w:val="0"/>
          <w:numId w:val="46"/>
        </w:numPr>
        <w:tabs>
          <w:tab w:val="left" w:pos="504"/>
        </w:tabs>
        <w:rPr>
          <w:rFonts w:ascii="宋体" w:hAnsi="宋体"/>
          <w:szCs w:val="21"/>
        </w:rPr>
      </w:pPr>
      <w:r>
        <w:rPr>
          <w:rFonts w:hint="eastAsia" w:ascii="宋体" w:hAnsi="宋体"/>
          <w:szCs w:val="21"/>
        </w:rPr>
        <w:t>持有至到期投资</w:t>
      </w:r>
    </w:p>
    <w:sdt>
      <w:sdtPr>
        <w:rPr>
          <w:rFonts w:hint="eastAsia" w:ascii="宋体" w:hAnsi="宋体" w:cs="宋体"/>
          <w:kern w:val="0"/>
          <w:szCs w:val="24"/>
        </w:rPr>
        <w:alias w:val="模块:持有至到期投资情况"/>
        <w:tag w:val="_GBC_ee8fc66aaad640a6915a0b750518709f"/>
        <w:id w:val="25154761"/>
        <w:lock w:val="sdtLocked"/>
        <w:placeholder>
          <w:docPart w:val="GBC22222222222222222222222222222"/>
        </w:placeholder>
      </w:sdtPr>
      <w:sdtEndPr>
        <w:rPr>
          <w:rFonts w:hint="default" w:ascii="宋体" w:hAnsi="宋体" w:cs="宋体"/>
          <w:kern w:val="0"/>
          <w:szCs w:val="21"/>
        </w:rPr>
      </w:sdtEndPr>
      <w:sdtContent>
        <w:p>
          <w:pPr>
            <w:pStyle w:val="90"/>
            <w:numPr>
              <w:ilvl w:val="0"/>
              <w:numId w:val="55"/>
            </w:numPr>
            <w:ind w:firstLineChars="0"/>
            <w:rPr>
              <w:b/>
              <w:bCs/>
            </w:rPr>
          </w:pPr>
          <w:r>
            <w:rPr>
              <w:rFonts w:hint="eastAsia"/>
              <w:b/>
              <w:bCs/>
            </w:rPr>
            <w:t>持有至到期投资情况：</w:t>
          </w:r>
        </w:p>
        <w:sdt>
          <w:sdtPr>
            <w:rPr>
              <w:b/>
              <w:bCs/>
            </w:rPr>
            <w:alias w:val="是否适用：持有至到期投资情况[双击切换]"/>
            <w:tag w:val="_GBC_2086057257474c57a1fc1b60a3cc651b"/>
            <w:id w:val="25154760"/>
            <w:lock w:val="sdtContentLocked"/>
            <w:placeholder>
              <w:docPart w:val="GBC22222222222222222222222222222"/>
            </w:placeholder>
          </w:sdtPr>
          <w:sdtEndPr>
            <w:rPr>
              <w:b w:val="0"/>
              <w:bCs/>
            </w:rPr>
          </w:sdtEndPr>
          <w:sdtContent>
            <w:p>
              <w:pPr>
                <w:pStyle w:val="76"/>
                <w:rPr>
                  <w:szCs w:val="21"/>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sdt>
      <w:sdtPr>
        <w:rPr>
          <w:rFonts w:hint="eastAsia" w:ascii="宋体" w:hAnsi="宋体" w:cs="宋体"/>
          <w:kern w:val="0"/>
          <w:szCs w:val="21"/>
        </w:rPr>
        <w:alias w:val="模块:期末重要的持有至到期投资："/>
        <w:tag w:val="_GBC_dae859bc239040ccb3d77988f26306ca"/>
        <w:id w:val="25154763"/>
        <w:lock w:val="sdtLocked"/>
        <w:placeholder>
          <w:docPart w:val="GBC22222222222222222222222222222"/>
        </w:placeholder>
      </w:sdtPr>
      <w:sdtEndPr>
        <w:rPr>
          <w:rFonts w:hint="eastAsia" w:ascii="宋体" w:hAnsi="宋体" w:cs="宋体"/>
          <w:kern w:val="0"/>
          <w:szCs w:val="21"/>
        </w:rPr>
      </w:sdtEndPr>
      <w:sdtContent>
        <w:p>
          <w:pPr>
            <w:pStyle w:val="90"/>
            <w:numPr>
              <w:ilvl w:val="0"/>
              <w:numId w:val="55"/>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3d71036bc3424716aa3b1fc196f9a3f8"/>
            <w:id w:val="2515476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szCs w:val="24"/>
        </w:rPr>
        <w:alias w:val="模块:本期重分类的持有至到期投资"/>
        <w:tag w:val="_GBC_9054720155d148a7a6470c16f3a5d9f8"/>
        <w:id w:val="25154765"/>
        <w:lock w:val="sdtLocked"/>
        <w:placeholder>
          <w:docPart w:val="GBC22222222222222222222222222222"/>
        </w:placeholder>
      </w:sdtPr>
      <w:sdtEndPr>
        <w:rPr>
          <w:rFonts w:hint="eastAsia" w:ascii="宋体" w:hAnsi="宋体" w:cs="宋体"/>
          <w:kern w:val="0"/>
          <w:szCs w:val="24"/>
        </w:rPr>
      </w:sdtEndPr>
      <w:sdtContent>
        <w:p>
          <w:pPr>
            <w:pStyle w:val="90"/>
            <w:numPr>
              <w:ilvl w:val="0"/>
              <w:numId w:val="55"/>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e4c5178f8b04ef68465db847d736949"/>
            <w:id w:val="25154764"/>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szCs w:val="21"/>
        </w:rPr>
        <w:alias w:val="模块:持有至到期投资的说明"/>
        <w:tag w:val="_GBC_d8963e06103b4858b1889f0071e881f1"/>
        <w:id w:val="25154767"/>
        <w:lock w:val="sdtLocked"/>
        <w:placeholder>
          <w:docPart w:val="GBC22222222222222222222222222222"/>
        </w:placeholder>
      </w:sdtPr>
      <w:sdtEndPr>
        <w:rPr>
          <w:szCs w:val="21"/>
        </w:rPr>
      </w:sdtEndPr>
      <w:sdtContent>
        <w:p>
          <w:pPr>
            <w:pStyle w:val="76"/>
            <w:rPr>
              <w:szCs w:val="21"/>
            </w:rPr>
          </w:pPr>
          <w:r>
            <w:rPr>
              <w:rFonts w:hint="eastAsia"/>
              <w:szCs w:val="21"/>
            </w:rPr>
            <w:t>其他说明：</w:t>
          </w:r>
        </w:p>
        <w:sdt>
          <w:sdtPr>
            <w:rPr>
              <w:szCs w:val="21"/>
            </w:rPr>
            <w:alias w:val="是否适用：持有至到期投资的说明[双击切换]"/>
            <w:tag w:val="_GBC_f34c9cbc2cfc4b80979d3e49f8e662b4"/>
            <w:id w:val="25154766"/>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9"/>
        <w:numPr>
          <w:ilvl w:val="0"/>
          <w:numId w:val="46"/>
        </w:numPr>
        <w:tabs>
          <w:tab w:val="left" w:pos="504"/>
        </w:tabs>
        <w:rPr>
          <w:rFonts w:ascii="宋体" w:hAnsi="宋体"/>
          <w:szCs w:val="21"/>
        </w:rPr>
      </w:pPr>
      <w:r>
        <w:rPr>
          <w:rFonts w:hint="eastAsia" w:ascii="宋体" w:hAnsi="宋体"/>
          <w:szCs w:val="21"/>
        </w:rPr>
        <w:t>长期应收款</w:t>
      </w:r>
    </w:p>
    <w:sdt>
      <w:sdtPr>
        <w:rPr>
          <w:rFonts w:hint="eastAsia" w:ascii="宋体" w:hAnsi="宋体" w:cs="宋体"/>
          <w:b w:val="0"/>
          <w:bCs w:val="0"/>
          <w:kern w:val="0"/>
          <w:szCs w:val="24"/>
        </w:rPr>
        <w:alias w:val="模块:长期应收款"/>
        <w:tag w:val="_GBC_2642a454002a499399e1b643b91ef1ad"/>
        <w:id w:val="25154769"/>
        <w:lock w:val="sdtLocked"/>
        <w:placeholder>
          <w:docPart w:val="GBC22222222222222222222222222222"/>
        </w:placeholder>
      </w:sdtPr>
      <w:sdtEndPr>
        <w:rPr>
          <w:rFonts w:hint="default" w:ascii="宋体" w:hAnsi="宋体" w:cs="宋体"/>
          <w:b w:val="0"/>
          <w:bCs w:val="0"/>
          <w:color w:val="FF0000"/>
          <w:kern w:val="0"/>
          <w:szCs w:val="21"/>
        </w:rPr>
      </w:sdtEndPr>
      <w:sdtContent>
        <w:p>
          <w:pPr>
            <w:pStyle w:val="80"/>
            <w:numPr>
              <w:ilvl w:val="0"/>
              <w:numId w:val="56"/>
            </w:numPr>
          </w:pPr>
          <w:r>
            <w:rPr>
              <w:rFonts w:hint="eastAsia"/>
            </w:rPr>
            <w:t>长期应收款情况：</w:t>
          </w:r>
        </w:p>
        <w:sdt>
          <w:sdtPr>
            <w:alias w:val="是否适用：长期应收款情况[双击切换]"/>
            <w:tag w:val="_GBC_03ba5a75d6d541f4a60fba2b18c9d548"/>
            <w:id w:val="25154768"/>
            <w:lock w:val="sdtContentLocked"/>
            <w:placeholder>
              <w:docPart w:val="GBC22222222222222222222222222222"/>
            </w:placeholder>
          </w:sdtPr>
          <w:sdtContent>
            <w:p>
              <w:pPr>
                <w:pStyle w:val="76"/>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因金融资产转移而终止确认的长期应收款"/>
        <w:tag w:val="_GBC_928896eb74ab465199673a59201d4a8b"/>
        <w:id w:val="25154771"/>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56"/>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25154770"/>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宋体" w:hAnsi="宋体" w:cs="宋体"/>
          <w:b w:val="0"/>
          <w:bCs w:val="0"/>
          <w:kern w:val="0"/>
          <w:szCs w:val="24"/>
        </w:rPr>
        <w:alias w:val="模块:转移长期应收款且继续涉入形成的资产、负债金额"/>
        <w:tag w:val="_GBC_711f6e05c2eb42e595d774bdf837f823"/>
        <w:id w:val="25154773"/>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56"/>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25154772"/>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szCs w:val="21"/>
        </w:rPr>
        <w:alias w:val="模块:长期应收款的其他说明"/>
        <w:tag w:val="_GBC_2a6246644ca84dfdb1b5ecc95ea5c0c2"/>
        <w:id w:val="25154775"/>
        <w:lock w:val="sdtLocked"/>
        <w:placeholder>
          <w:docPart w:val="GBC22222222222222222222222222222"/>
        </w:placeholder>
      </w:sdtPr>
      <w:sdtEndPr>
        <w:rPr>
          <w:rFonts w:hint="eastAsia"/>
          <w:szCs w:val="21"/>
        </w:rPr>
      </w:sdtEndPr>
      <w:sdtContent>
        <w:p>
          <w:pPr>
            <w:pStyle w:val="76"/>
            <w:rPr>
              <w:szCs w:val="21"/>
            </w:rPr>
          </w:pPr>
          <w:r>
            <w:rPr>
              <w:rFonts w:hint="eastAsia"/>
              <w:szCs w:val="21"/>
            </w:rPr>
            <w:t>其他说明</w:t>
          </w:r>
        </w:p>
        <w:sdt>
          <w:sdtPr>
            <w:rPr>
              <w:rFonts w:hint="eastAsia"/>
              <w:szCs w:val="21"/>
            </w:rPr>
            <w:alias w:val="是否适用：长期应收款的其他说明[双击切换]"/>
            <w:tag w:val="_GBC_a368edfbd60c44cdaed5299529b44fa0"/>
            <w:id w:val="25154774"/>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长期股权投资</w:t>
      </w:r>
    </w:p>
    <w:p>
      <w:pPr>
        <w:pStyle w:val="76"/>
      </w:pPr>
      <w:sdt>
        <w:sdtPr>
          <w:rPr>
            <w:rFonts w:hint="eastAsia"/>
          </w:rPr>
          <w:alias w:val="是否适用：长期股权投资[双击切换]"/>
          <w:tag w:val="_GBC_bafa2cb2262c4c4ebc4eed8f4e4a81c6"/>
          <w:id w:val="25154776"/>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25154800"/>
        <w:lock w:val="sdtLocked"/>
        <w:placeholder>
          <w:docPart w:val="GBC22222222222222222222222222222"/>
        </w:placeholder>
      </w:sdtPr>
      <w:sdtEndPr>
        <w:rPr>
          <w:rFonts w:hint="eastAsia"/>
          <w:szCs w:val="21"/>
        </w:rPr>
      </w:sdtEndPr>
      <w:sdtContent>
        <w:p>
          <w:pPr>
            <w:pStyle w:val="76"/>
            <w:jc w:val="right"/>
            <w:rPr>
              <w:szCs w:val="21"/>
            </w:rPr>
          </w:pPr>
          <w:r>
            <w:rPr>
              <w:rFonts w:hint="eastAsia"/>
              <w:szCs w:val="21"/>
            </w:rPr>
            <w:t>单位：</w:t>
          </w:r>
          <w:sdt>
            <w:sdtPr>
              <w:rPr>
                <w:rFonts w:hint="eastAsia"/>
                <w:szCs w:val="21"/>
              </w:rPr>
              <w:alias w:val="单位：财务附注：长期股权投资"/>
              <w:tag w:val="_GBC_63e30834d38e49658bec9056bc38e4e2"/>
              <w:id w:val="251547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251547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3"/>
            <w:gridCol w:w="1133"/>
            <w:gridCol w:w="283"/>
            <w:gridCol w:w="995"/>
            <w:gridCol w:w="709"/>
            <w:gridCol w:w="707"/>
            <w:gridCol w:w="852"/>
            <w:gridCol w:w="852"/>
            <w:gridCol w:w="577"/>
            <w:gridCol w:w="113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f83b8af388eb4b51ac2d014806d1cf64"/>
                <w:id w:val="25154779"/>
                <w:lock w:val="sdtLocked"/>
              </w:sdtPr>
              <w:sdtEndPr>
                <w:rPr>
                  <w:sz w:val="18"/>
                  <w:szCs w:val="18"/>
                </w:rPr>
              </w:sdtEndPr>
              <w:sdtContent>
                <w:tc>
                  <w:tcPr>
                    <w:tcW w:w="1560" w:type="dxa"/>
                    <w:vMerge w:val="restart"/>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被投资单位</w:t>
                    </w:r>
                  </w:p>
                </w:tc>
              </w:sdtContent>
            </w:sdt>
            <w:sdt>
              <w:sdtPr>
                <w:rPr>
                  <w:sz w:val="18"/>
                  <w:szCs w:val="18"/>
                </w:rPr>
                <w:tag w:val="_PLD_13e6a1fe1f124ad387aad52d77f70942"/>
                <w:id w:val="25154780"/>
                <w:lock w:val="sdtLocked"/>
              </w:sdtPr>
              <w:sdtEndPr>
                <w:rPr>
                  <w:sz w:val="18"/>
                  <w:szCs w:val="18"/>
                </w:rPr>
              </w:sdtEndPr>
              <w:sdtContent>
                <w:tc>
                  <w:tcPr>
                    <w:tcW w:w="993" w:type="dxa"/>
                    <w:vMerge w:val="restart"/>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期初</w:t>
                    </w:r>
                  </w:p>
                  <w:p>
                    <w:pPr>
                      <w:pStyle w:val="76"/>
                      <w:jc w:val="center"/>
                      <w:rPr>
                        <w:sz w:val="18"/>
                        <w:szCs w:val="18"/>
                      </w:rPr>
                    </w:pPr>
                    <w:r>
                      <w:rPr>
                        <w:rFonts w:hint="eastAsia"/>
                        <w:sz w:val="18"/>
                        <w:szCs w:val="18"/>
                      </w:rPr>
                      <w:t>余额</w:t>
                    </w:r>
                  </w:p>
                </w:tc>
              </w:sdtContent>
            </w:sdt>
            <w:sdt>
              <w:sdtPr>
                <w:rPr>
                  <w:sz w:val="18"/>
                  <w:szCs w:val="18"/>
                </w:rPr>
                <w:tag w:val="_PLD_26fdf8bbc93c4727b9e370d1fdd1f305"/>
                <w:id w:val="25154781"/>
                <w:lock w:val="sdtLocked"/>
              </w:sdtPr>
              <w:sdtEndPr>
                <w:rPr>
                  <w:sz w:val="18"/>
                  <w:szCs w:val="18"/>
                </w:rPr>
              </w:sdtEndPr>
              <w:sdtContent>
                <w:tc>
                  <w:tcPr>
                    <w:tcW w:w="61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本期增减变动</w:t>
                    </w:r>
                  </w:p>
                </w:tc>
              </w:sdtContent>
            </w:sdt>
            <w:sdt>
              <w:sdtPr>
                <w:rPr>
                  <w:sz w:val="18"/>
                  <w:szCs w:val="18"/>
                </w:rPr>
                <w:tag w:val="_PLD_26f512d0941441d6b65bf5cb83112461"/>
                <w:id w:val="25154782"/>
                <w:lock w:val="sdtLocked"/>
              </w:sdtPr>
              <w:sdtEndPr>
                <w:rPr>
                  <w:sz w:val="18"/>
                  <w:szCs w:val="18"/>
                </w:rPr>
              </w:sdtEndPr>
              <w:sdtContent>
                <w:tc>
                  <w:tcPr>
                    <w:tcW w:w="1133" w:type="dxa"/>
                    <w:vMerge w:val="restart"/>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期末</w:t>
                    </w:r>
                  </w:p>
                  <w:p>
                    <w:pPr>
                      <w:pStyle w:val="76"/>
                      <w:jc w:val="center"/>
                      <w:rPr>
                        <w:sz w:val="18"/>
                        <w:szCs w:val="18"/>
                      </w:rPr>
                    </w:pPr>
                    <w:r>
                      <w:rPr>
                        <w:rFonts w:hint="eastAsia"/>
                        <w:sz w:val="18"/>
                        <w:szCs w:val="18"/>
                      </w:rPr>
                      <w:t>余额</w:t>
                    </w:r>
                  </w:p>
                </w:tc>
              </w:sdtContent>
            </w:sdt>
            <w:sdt>
              <w:sdtPr>
                <w:rPr>
                  <w:sz w:val="18"/>
                  <w:szCs w:val="18"/>
                </w:rPr>
                <w:tag w:val="_PLD_0a22719961ad439599d68ae073360e65"/>
                <w:id w:val="25154783"/>
                <w:lock w:val="sdtLocked"/>
              </w:sdtPr>
              <w:sdtEndPr>
                <w:rPr>
                  <w:sz w:val="18"/>
                  <w:szCs w:val="18"/>
                </w:rPr>
              </w:sdtEndPr>
              <w:sdtContent>
                <w:tc>
                  <w:tcPr>
                    <w:tcW w:w="697" w:type="dxa"/>
                    <w:vMerge w:val="restart"/>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减值准备期末余额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tcBorders>
                  <w:left w:val="single" w:color="auto" w:sz="4" w:space="0"/>
                  <w:bottom w:val="single" w:color="auto" w:sz="4" w:space="0"/>
                  <w:right w:val="single" w:color="auto" w:sz="4" w:space="0"/>
                </w:tcBorders>
                <w:shd w:val="clear" w:color="auto" w:fill="auto"/>
              </w:tcPr>
              <w:p>
                <w:pPr>
                  <w:pStyle w:val="76"/>
                  <w:jc w:val="center"/>
                  <w:rPr>
                    <w:sz w:val="18"/>
                    <w:szCs w:val="18"/>
                  </w:rPr>
                </w:pPr>
              </w:p>
            </w:tc>
            <w:tc>
              <w:tcPr>
                <w:tcW w:w="993" w:type="dxa"/>
                <w:vMerge w:val="continue"/>
                <w:tcBorders>
                  <w:left w:val="single" w:color="auto" w:sz="4" w:space="0"/>
                  <w:bottom w:val="single" w:color="auto" w:sz="4" w:space="0"/>
                  <w:right w:val="single" w:color="auto" w:sz="4" w:space="0"/>
                </w:tcBorders>
                <w:shd w:val="clear" w:color="auto" w:fill="auto"/>
              </w:tcPr>
              <w:p>
                <w:pPr>
                  <w:pStyle w:val="76"/>
                  <w:jc w:val="center"/>
                  <w:rPr>
                    <w:sz w:val="18"/>
                    <w:szCs w:val="18"/>
                  </w:rPr>
                </w:pPr>
              </w:p>
            </w:tc>
            <w:sdt>
              <w:sdtPr>
                <w:rPr>
                  <w:sz w:val="18"/>
                  <w:szCs w:val="18"/>
                </w:rPr>
                <w:tag w:val="_PLD_51f40272a3ff4bacb9c71b19b5796e3e"/>
                <w:id w:val="25154784"/>
                <w:lock w:val="sdtLocked"/>
              </w:sdtPr>
              <w:sdtEndPr>
                <w:rPr>
                  <w:sz w:val="18"/>
                  <w:szCs w:val="18"/>
                </w:rPr>
              </w:sdtEndPr>
              <w:sdtContent>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追加投资</w:t>
                    </w:r>
                  </w:p>
                </w:tc>
              </w:sdtContent>
            </w:sdt>
            <w:sdt>
              <w:sdtPr>
                <w:rPr>
                  <w:sz w:val="18"/>
                  <w:szCs w:val="18"/>
                </w:rPr>
                <w:tag w:val="_PLD_e5464032b3a04113a9cc54a32d8ba16e"/>
                <w:id w:val="25154785"/>
                <w:lock w:val="sdtLocked"/>
              </w:sdtPr>
              <w:sdtEndPr>
                <w:rPr>
                  <w:sz w:val="18"/>
                  <w:szCs w:val="18"/>
                </w:rPr>
              </w:sdtEndPr>
              <w:sdtContent>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减少投资</w:t>
                    </w:r>
                  </w:p>
                </w:tc>
              </w:sdtContent>
            </w:sdt>
            <w:sdt>
              <w:sdtPr>
                <w:rPr>
                  <w:sz w:val="18"/>
                  <w:szCs w:val="18"/>
                </w:rPr>
                <w:tag w:val="_PLD_3e93bb423e264a59a4ee73dd513ac7a0"/>
                <w:id w:val="25154786"/>
                <w:lock w:val="sdtLocked"/>
              </w:sdtPr>
              <w:sdtEndPr>
                <w:rPr>
                  <w:sz w:val="18"/>
                  <w:szCs w:val="18"/>
                </w:rPr>
              </w:sdtEndPr>
              <w:sdtContent>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权益法下确认的投资损益</w:t>
                    </w:r>
                  </w:p>
                </w:tc>
              </w:sdtContent>
            </w:sdt>
            <w:sdt>
              <w:sdtPr>
                <w:rPr>
                  <w:sz w:val="18"/>
                  <w:szCs w:val="18"/>
                </w:rPr>
                <w:tag w:val="_PLD_6d1d63a827674a6d9b4fd3b0738ccb44"/>
                <w:id w:val="25154787"/>
                <w:lock w:val="sdtLocked"/>
              </w:sdtPr>
              <w:sdtEndPr>
                <w:rPr>
                  <w:sz w:val="18"/>
                  <w:szCs w:val="18"/>
                </w:rPr>
              </w:sdtEndPr>
              <w:sdtContent>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其他综合收益调整</w:t>
                    </w:r>
                  </w:p>
                </w:tc>
              </w:sdtContent>
            </w:sdt>
            <w:sdt>
              <w:sdtPr>
                <w:rPr>
                  <w:sz w:val="18"/>
                  <w:szCs w:val="18"/>
                </w:rPr>
                <w:tag w:val="_PLD_2e31e12a1218445b9271cd0b2b46dfb3"/>
                <w:id w:val="25154788"/>
                <w:lock w:val="sdtLocked"/>
              </w:sdtPr>
              <w:sdtEndPr>
                <w:rPr>
                  <w:sz w:val="18"/>
                  <w:szCs w:val="18"/>
                </w:rPr>
              </w:sdtEndPr>
              <w:sdtContent>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其他权益变动</w:t>
                    </w:r>
                  </w:p>
                </w:tc>
              </w:sdtContent>
            </w:sdt>
            <w:sdt>
              <w:sdtPr>
                <w:rPr>
                  <w:sz w:val="18"/>
                  <w:szCs w:val="18"/>
                </w:rPr>
                <w:tag w:val="_PLD_35f9510bcc234f63a5879448c48131ac"/>
                <w:id w:val="25154789"/>
                <w:lock w:val="sdtLocked"/>
              </w:sdtPr>
              <w:sdtEndPr>
                <w:rPr>
                  <w:sz w:val="18"/>
                  <w:szCs w:val="18"/>
                </w:rPr>
              </w:sdtEndPr>
              <w:sdtContent>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宣告发放现金股利或利润</w:t>
                    </w:r>
                  </w:p>
                </w:tc>
              </w:sdtContent>
            </w:sdt>
            <w:sdt>
              <w:sdtPr>
                <w:rPr>
                  <w:sz w:val="18"/>
                  <w:szCs w:val="18"/>
                </w:rPr>
                <w:tag w:val="_PLD_ad3c3bd2b468443aab93d8cfe4bded11"/>
                <w:id w:val="25154790"/>
                <w:lock w:val="sdtLocked"/>
              </w:sdtPr>
              <w:sdtEndPr>
                <w:rPr>
                  <w:sz w:val="18"/>
                  <w:szCs w:val="18"/>
                </w:rPr>
              </w:sdtEndPr>
              <w:sdtContent>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计提减值准备</w:t>
                    </w:r>
                  </w:p>
                </w:tc>
              </w:sdtContent>
            </w:sdt>
            <w:sdt>
              <w:sdtPr>
                <w:rPr>
                  <w:sz w:val="18"/>
                  <w:szCs w:val="18"/>
                </w:rPr>
                <w:tag w:val="_PLD_1bf39451058c4b3c8ec7b49241e56e40"/>
                <w:id w:val="25154791"/>
                <w:lock w:val="sdtLocked"/>
              </w:sdtPr>
              <w:sdtEndPr>
                <w:rPr>
                  <w:sz w:val="18"/>
                  <w:szCs w:val="18"/>
                </w:rPr>
              </w:sdtEndPr>
              <w:sdtContent>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其他</w:t>
                    </w:r>
                  </w:p>
                </w:tc>
              </w:sdtContent>
            </w:sdt>
            <w:tc>
              <w:tcPr>
                <w:tcW w:w="1133" w:type="dxa"/>
                <w:vMerge w:val="continue"/>
                <w:tcBorders>
                  <w:left w:val="single" w:color="auto" w:sz="4" w:space="0"/>
                  <w:bottom w:val="single" w:color="auto" w:sz="4" w:space="0"/>
                  <w:right w:val="single" w:color="auto" w:sz="4" w:space="0"/>
                </w:tcBorders>
                <w:shd w:val="clear" w:color="auto" w:fill="auto"/>
                <w:vAlign w:val="center"/>
              </w:tcPr>
              <w:p>
                <w:pPr>
                  <w:pStyle w:val="76"/>
                  <w:jc w:val="center"/>
                  <w:rPr>
                    <w:sz w:val="18"/>
                    <w:szCs w:val="18"/>
                  </w:rPr>
                </w:pPr>
              </w:p>
            </w:tc>
            <w:tc>
              <w:tcPr>
                <w:tcW w:w="697" w:type="dxa"/>
                <w:vMerge w:val="continue"/>
                <w:tcBorders>
                  <w:left w:val="single" w:color="auto" w:sz="4" w:space="0"/>
                  <w:bottom w:val="single" w:color="auto" w:sz="4" w:space="0"/>
                  <w:right w:val="single" w:color="auto" w:sz="4" w:space="0"/>
                </w:tcBorders>
                <w:shd w:val="clear" w:color="auto" w:fill="auto"/>
                <w:vAlign w:val="center"/>
              </w:tcPr>
              <w:p>
                <w:pPr>
                  <w:pStyle w:val="76"/>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4cee4ce080742218169c5adba891f8b"/>
                <w:id w:val="25154792"/>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rFonts w:hint="eastAsia"/>
                        <w:sz w:val="18"/>
                        <w:szCs w:val="18"/>
                      </w:rPr>
                      <w:t>一、合营企业</w:t>
                    </w:r>
                  </w:p>
                </w:tc>
              </w:sdtContent>
            </w:sdt>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69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0f6b1bcaf84d416293b3177ddad0e0e0"/>
                <w:id w:val="25154793"/>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rFonts w:hint="eastAsia"/>
                        <w:sz w:val="18"/>
                        <w:szCs w:val="18"/>
                      </w:rPr>
                      <w:t>小计</w:t>
                    </w:r>
                  </w:p>
                </w:tc>
              </w:sdtContent>
            </w:sdt>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69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1bc1a1af5744195bb75f57f610f28b4"/>
                <w:id w:val="25154794"/>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rFonts w:hint="eastAsia"/>
                        <w:sz w:val="18"/>
                        <w:szCs w:val="18"/>
                      </w:rPr>
                      <w:t>二、联营企业</w:t>
                    </w:r>
                  </w:p>
                </w:tc>
              </w:sdtContent>
            </w:sdt>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69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
            <w:sdtPr>
              <w:rPr>
                <w:rFonts w:hint="eastAsia"/>
                <w:sz w:val="18"/>
                <w:szCs w:val="18"/>
              </w:rPr>
              <w:alias w:val="联营企业投资信息明细"/>
              <w:tag w:val="_GBC_49d1b98c49c34c26a2c4d55f0c1fdb21"/>
              <w:id w:val="2515479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桂林仙源健康产业股份有限公司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400,186.44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3,500,000.00</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-64,177.54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3,836,008.90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7a0008e0bed45f5924ac82e7bbf0d7c"/>
                <w:id w:val="25154796"/>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rFonts w:hint="eastAsia"/>
                        <w:sz w:val="18"/>
                        <w:szCs w:val="18"/>
                      </w:rPr>
                      <w:t>小计</w:t>
                    </w:r>
                  </w:p>
                </w:tc>
              </w:sdtContent>
            </w:sdt>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400,186.44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3,500,000.00</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-64,177.54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3,836,008.90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650622d02e74721a67ca767c0e407f2"/>
                <w:id w:val="25154797"/>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合计</w:t>
                    </w:r>
                  </w:p>
                </w:tc>
              </w:sdtContent>
            </w:sdt>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400,186.44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3,500,000.00</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-64,177.54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r>
                  <w:rPr>
                    <w:rFonts w:ascii="Arial Narrow" w:hAnsi="Arial Narrow"/>
                    <w:sz w:val="18"/>
                    <w:szCs w:val="18"/>
                  </w:rPr>
                  <w:t>3,836,008.90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rFonts w:ascii="Arial Narrow" w:hAnsi="Arial Narrow"/>
                    <w:sz w:val="18"/>
                    <w:szCs w:val="18"/>
                  </w:rPr>
                </w:pPr>
              </w:p>
            </w:tc>
          </w:tr>
        </w:tbl>
        <w:p>
          <w:pPr>
            <w:pStyle w:val="76"/>
            <w:snapToGrid w:val="0"/>
            <w:spacing w:line="240" w:lineRule="atLeast"/>
            <w:rPr>
              <w:szCs w:val="21"/>
            </w:rPr>
          </w:pPr>
          <w:r>
            <w:rPr>
              <w:rFonts w:hint="eastAsia"/>
              <w:szCs w:val="21"/>
            </w:rPr>
            <w:t>其他说明</w:t>
          </w:r>
        </w:p>
        <w:sdt>
          <w:sdtPr>
            <w:rPr>
              <w:rFonts w:hint="eastAsia"/>
              <w:szCs w:val="21"/>
            </w:rPr>
            <w:tag w:val="_GBC_ccc3d8feeab24d0e8e4139f2a19cfa7c"/>
            <w:id w:val="25154799"/>
            <w:lock w:val="sdtLocked"/>
            <w:placeholder>
              <w:docPart w:val="GBC22222222222222222222222222222"/>
            </w:placeholder>
          </w:sdtPr>
          <w:sdtEndPr>
            <w:rPr>
              <w:rFonts w:hint="default"/>
              <w:szCs w:val="21"/>
            </w:rPr>
          </w:sdtEndPr>
          <w:sdtContent>
            <w:sdt>
              <w:sdtPr>
                <w:rPr>
                  <w:szCs w:val="21"/>
                </w:rPr>
                <w:alias w:val="长期股票投资的说明"/>
                <w:tag w:val="_GBC_492b53d02462408a924f069c70a16ce9"/>
                <w:id w:val="25154798"/>
                <w:lock w:val="sdtLocked"/>
                <w:placeholder>
                  <w:docPart w:val="GBC22222222222222222222222222222"/>
                </w:placeholder>
              </w:sdtPr>
              <w:sdtEndPr>
                <w:rPr>
                  <w:szCs w:val="21"/>
                </w:rPr>
              </w:sdtEndPr>
              <w:sdtContent>
                <w:p>
                  <w:pPr>
                    <w:pStyle w:val="76"/>
                    <w:snapToGrid w:val="0"/>
                    <w:spacing w:line="240" w:lineRule="atLeast"/>
                    <w:rPr>
                      <w:szCs w:val="21"/>
                    </w:rPr>
                  </w:pPr>
                  <w:r>
                    <w:rPr>
                      <w:rFonts w:hint="eastAsia"/>
                      <w:szCs w:val="21"/>
                    </w:rPr>
                    <w:t>桂林仙源健康产业股份有限公司成立于</w:t>
                  </w:r>
                  <w:r>
                    <w:rPr>
                      <w:szCs w:val="21"/>
                    </w:rPr>
                    <w:t>2014年12月26日，注册资本10000万元，柳钢集团公司</w:t>
                  </w:r>
                  <w:r>
                    <w:rPr>
                      <w:rFonts w:hint="eastAsia"/>
                      <w:szCs w:val="21"/>
                    </w:rPr>
                    <w:t>认缴出资</w:t>
                  </w:r>
                  <w:r>
                    <w:rPr>
                      <w:szCs w:val="21"/>
                    </w:rPr>
                    <w:t>6000万元，本公司</w:t>
                  </w:r>
                  <w:r>
                    <w:rPr>
                      <w:rFonts w:hint="eastAsia"/>
                      <w:szCs w:val="21"/>
                    </w:rPr>
                    <w:t>认缴出资</w:t>
                  </w:r>
                  <w:r>
                    <w:rPr>
                      <w:szCs w:val="21"/>
                    </w:rPr>
                    <w:t>3500万元，柳州市兴佳房地产开发有限责任公司</w:t>
                  </w:r>
                  <w:r>
                    <w:rPr>
                      <w:rFonts w:hint="eastAsia"/>
                      <w:szCs w:val="21"/>
                    </w:rPr>
                    <w:t>认缴出资</w:t>
                  </w:r>
                  <w:r>
                    <w:rPr>
                      <w:szCs w:val="21"/>
                    </w:rPr>
                    <w:t>500万元。</w:t>
                  </w:r>
                  <w:r>
                    <w:rPr>
                      <w:rFonts w:hint="eastAsia"/>
                      <w:szCs w:val="21"/>
                    </w:rPr>
                    <w:t>截止报告期末</w:t>
                  </w:r>
                  <w:r>
                    <w:rPr>
                      <w:szCs w:val="21"/>
                    </w:rPr>
                    <w:t>本公司实际出资</w:t>
                  </w:r>
                  <w:r>
                    <w:rPr>
                      <w:rFonts w:hint="eastAsia"/>
                      <w:szCs w:val="21"/>
                    </w:rPr>
                    <w:t>420</w:t>
                  </w:r>
                  <w:r>
                    <w:rPr>
                      <w:szCs w:val="21"/>
                    </w:rPr>
                    <w:t>万元，占仙源公司实收资本</w:t>
                  </w:r>
                  <w:r>
                    <w:rPr>
                      <w:rFonts w:hint="eastAsia"/>
                      <w:szCs w:val="21"/>
                    </w:rPr>
                    <w:t>32.31</w:t>
                  </w:r>
                  <w:r>
                    <w:rPr>
                      <w:szCs w:val="21"/>
                    </w:rPr>
                    <w:t>%。</w:t>
                  </w:r>
                </w:p>
              </w:sdtContent>
            </w:sdt>
          </w:sdtContent>
        </w:sdt>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投资性房地产</w:t>
      </w:r>
    </w:p>
    <w:p>
      <w:pPr>
        <w:pStyle w:val="76"/>
      </w:pPr>
      <w:r>
        <w:t>投资性房地产</w:t>
      </w:r>
      <w:r>
        <w:rPr>
          <w:rFonts w:hint="eastAsia"/>
        </w:rPr>
        <w:t>计量模式</w:t>
      </w:r>
    </w:p>
    <w:sdt>
      <w:sdtPr>
        <w:rPr>
          <w:rFonts w:hint="eastAsia"/>
          <w:szCs w:val="21"/>
        </w:rPr>
        <w:tag w:val="_GBC_3910517a603f4979b551ec278644d4e0"/>
        <w:id w:val="25154802"/>
        <w:lock w:val="sdtLocked"/>
        <w:placeholder>
          <w:docPart w:val="GBC22222222222222222222222222222"/>
        </w:placeholder>
      </w:sdtPr>
      <w:sdtEndPr>
        <w:rPr>
          <w:rFonts w:hint="eastAsia" w:cstheme="minorBidi"/>
          <w:kern w:val="2"/>
          <w:szCs w:val="21"/>
        </w:rPr>
      </w:sdtEndPr>
      <w:sdtContent>
        <w:p>
          <w:pPr>
            <w:pStyle w:val="76"/>
            <w:ind w:right="283"/>
            <w:rPr>
              <w:szCs w:val="21"/>
            </w:rPr>
          </w:pPr>
          <w:r>
            <w:rPr>
              <w:rFonts w:hint="eastAsia"/>
              <w:szCs w:val="21"/>
            </w:rPr>
            <w:t>不</w:t>
          </w:r>
          <w:sdt>
            <w:sdtPr>
              <w:rPr>
                <w:rFonts w:hint="eastAsia"/>
                <w:szCs w:val="21"/>
              </w:rPr>
              <w:tag w:val="_PLD_b96b9a0d652c42729d37043ca500e287"/>
              <w:id w:val="25154801"/>
              <w:lock w:val="sdtLocked"/>
            </w:sdtPr>
            <w:sdtEndPr>
              <w:rPr>
                <w:rFonts w:hint="eastAsia"/>
                <w:szCs w:val="21"/>
              </w:rPr>
            </w:sdtEndPr>
            <w:sdtContent>
              <w:r>
                <w:rPr>
                  <w:rFonts w:hint="eastAsia"/>
                  <w:szCs w:val="21"/>
                </w:rPr>
                <w:t>适</w:t>
              </w:r>
            </w:sdtContent>
          </w:sdt>
          <w:r>
            <w:rPr>
              <w:rFonts w:hint="eastAsia"/>
              <w:szCs w:val="21"/>
            </w:rPr>
            <w:t>用</w:t>
          </w:r>
        </w:p>
      </w:sdtContent>
    </w:sdt>
    <w:p>
      <w:pPr>
        <w:pStyle w:val="76"/>
        <w:ind w:right="283"/>
        <w:rPr>
          <w:szCs w:val="21"/>
        </w:rPr>
      </w:pPr>
    </w:p>
    <w:p>
      <w:pPr>
        <w:pStyle w:val="79"/>
        <w:numPr>
          <w:ilvl w:val="0"/>
          <w:numId w:val="46"/>
        </w:numPr>
        <w:tabs>
          <w:tab w:val="left" w:pos="504"/>
        </w:tabs>
        <w:rPr>
          <w:rFonts w:ascii="宋体" w:hAnsi="宋体"/>
          <w:szCs w:val="21"/>
        </w:rPr>
      </w:pPr>
      <w:r>
        <w:rPr>
          <w:rFonts w:hint="eastAsia" w:ascii="宋体" w:hAnsi="宋体"/>
          <w:szCs w:val="21"/>
        </w:rPr>
        <w:t>固定资产</w:t>
      </w:r>
    </w:p>
    <w:sdt>
      <w:sdtPr>
        <w:rPr>
          <w:rFonts w:hint="eastAsia" w:ascii="宋体" w:hAnsi="宋体" w:cs="宋体"/>
          <w:b w:val="0"/>
          <w:bCs w:val="0"/>
          <w:kern w:val="0"/>
          <w:szCs w:val="21"/>
        </w:rPr>
        <w:alias w:val="模块:固定资产情况"/>
        <w:tag w:val="_GBC_6b764c2f9af049ba98fb55c66fe083a9"/>
        <w:id w:val="25154831"/>
        <w:lock w:val="sdtLocked"/>
        <w:placeholder>
          <w:docPart w:val="GBC22222222222222222222222222222"/>
        </w:placeholder>
      </w:sdtPr>
      <w:sdtEndPr>
        <w:rPr>
          <w:rFonts w:hint="eastAsia" w:ascii="宋体" w:hAnsi="宋体" w:cstheme="minorBidi"/>
          <w:b w:val="0"/>
          <w:bCs w:val="0"/>
          <w:kern w:val="2"/>
          <w:szCs w:val="21"/>
        </w:rPr>
      </w:sdtEndPr>
      <w:sdtContent>
        <w:p>
          <w:pPr>
            <w:pStyle w:val="80"/>
            <w:numPr>
              <w:ilvl w:val="0"/>
              <w:numId w:val="57"/>
            </w:numPr>
            <w:tabs>
              <w:tab w:val="left" w:pos="588"/>
            </w:tabs>
            <w:rPr>
              <w:rFonts w:ascii="宋体" w:hAnsi="宋体"/>
              <w:szCs w:val="21"/>
            </w:rPr>
          </w:pPr>
          <w:r>
            <w:rPr>
              <w:rFonts w:hint="eastAsia" w:ascii="宋体" w:hAnsi="宋体"/>
              <w:szCs w:val="21"/>
            </w:rPr>
            <w:t>固定资产情况</w:t>
          </w:r>
        </w:p>
        <w:sdt>
          <w:sdtPr>
            <w:alias w:val="是否适用：固定资产情况[双击切换]"/>
            <w:tag w:val="_GBC_dea1f620aab74d63b1372d831b5b450f"/>
            <w:id w:val="2515480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5154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251548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566"/>
            <w:gridCol w:w="1538"/>
            <w:gridCol w:w="1538"/>
            <w:gridCol w:w="153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741958de41447b7ac4cbd15ce893c6c"/>
                <w:id w:val="25154806"/>
                <w:lock w:val="sdtLocked"/>
              </w:sdtPr>
              <w:sdtContent>
                <w:tc>
                  <w:tcPr>
                    <w:tcW w:w="2566" w:type="dxa"/>
                    <w:shd w:val="clear" w:color="auto" w:fill="auto"/>
                    <w:vAlign w:val="center"/>
                  </w:tcPr>
                  <w:p>
                    <w:pPr>
                      <w:pStyle w:val="76"/>
                      <w:jc w:val="center"/>
                    </w:pPr>
                    <w:r>
                      <w:rPr>
                        <w:rFonts w:hint="eastAsia"/>
                      </w:rPr>
                      <w:t>项目</w:t>
                    </w:r>
                  </w:p>
                </w:tc>
              </w:sdtContent>
            </w:sdt>
            <w:sdt>
              <w:sdtPr>
                <w:rPr>
                  <w:rFonts w:hint="eastAsia"/>
                </w:rPr>
                <w:alias w:val="固定资产情况明细-项目名称"/>
                <w:tag w:val="_GBC_936a8499167f477aab1a2942b2fdbdaf"/>
                <w:id w:val="25154807"/>
                <w:lock w:val="sdtLocked"/>
                <w:text/>
              </w:sdtPr>
              <w:sdtEndPr>
                <w:rPr>
                  <w:rFonts w:hint="eastAsia"/>
                </w:rPr>
              </w:sdtEndPr>
              <w:sdtContent>
                <w:tc>
                  <w:tcPr>
                    <w:tcW w:w="1538" w:type="dxa"/>
                    <w:shd w:val="clear" w:color="auto" w:fill="auto"/>
                    <w:vAlign w:val="center"/>
                  </w:tcPr>
                  <w:p>
                    <w:pPr>
                      <w:pStyle w:val="76"/>
                      <w:jc w:val="center"/>
                    </w:pPr>
                    <w:r>
                      <w:rPr>
                        <w:rFonts w:hint="eastAsia"/>
                      </w:rPr>
                      <w:t>房屋及建筑物</w:t>
                    </w:r>
                  </w:p>
                </w:tc>
              </w:sdtContent>
            </w:sdt>
            <w:sdt>
              <w:sdtPr>
                <w:rPr>
                  <w:rFonts w:hint="eastAsia"/>
                </w:rPr>
                <w:alias w:val="固定资产情况明细-项目名称"/>
                <w:tag w:val="_GBC_936a8499167f477aab1a2942b2fdbdaf"/>
                <w:id w:val="25154808"/>
                <w:lock w:val="sdtLocked"/>
                <w:text/>
              </w:sdtPr>
              <w:sdtEndPr>
                <w:rPr>
                  <w:rFonts w:hint="eastAsia"/>
                </w:rPr>
              </w:sdtEndPr>
              <w:sdtContent>
                <w:tc>
                  <w:tcPr>
                    <w:tcW w:w="1538" w:type="dxa"/>
                    <w:shd w:val="clear" w:color="auto" w:fill="auto"/>
                    <w:vAlign w:val="center"/>
                  </w:tcPr>
                  <w:p>
                    <w:pPr>
                      <w:pStyle w:val="76"/>
                      <w:jc w:val="center"/>
                    </w:pPr>
                    <w:r>
                      <w:rPr>
                        <w:rFonts w:hint="eastAsia"/>
                      </w:rPr>
                      <w:t>机器设备</w:t>
                    </w:r>
                  </w:p>
                </w:tc>
              </w:sdtContent>
            </w:sdt>
            <w:sdt>
              <w:sdtPr>
                <w:rPr>
                  <w:rFonts w:hint="eastAsia"/>
                </w:rPr>
                <w:alias w:val="固定资产情况明细-项目名称"/>
                <w:tag w:val="_GBC_936a8499167f477aab1a2942b2fdbdaf"/>
                <w:id w:val="25154809"/>
                <w:lock w:val="sdtLocked"/>
                <w:text/>
              </w:sdtPr>
              <w:sdtEndPr>
                <w:rPr>
                  <w:rFonts w:hint="eastAsia"/>
                </w:rPr>
              </w:sdtEndPr>
              <w:sdtContent>
                <w:tc>
                  <w:tcPr>
                    <w:tcW w:w="1538" w:type="dxa"/>
                    <w:shd w:val="clear" w:color="auto" w:fill="auto"/>
                    <w:vAlign w:val="center"/>
                  </w:tcPr>
                  <w:p>
                    <w:pPr>
                      <w:pStyle w:val="76"/>
                      <w:jc w:val="center"/>
                    </w:pPr>
                    <w:r>
                      <w:rPr>
                        <w:rFonts w:hint="eastAsia"/>
                      </w:rPr>
                      <w:t>运输工具</w:t>
                    </w:r>
                  </w:p>
                </w:tc>
              </w:sdtContent>
            </w:sdt>
            <w:sdt>
              <w:sdtPr>
                <w:tag w:val="_PLD_0b635f975b4949dbb798f88c3dcf1d8d"/>
                <w:id w:val="25154810"/>
                <w:lock w:val="sdtLocked"/>
              </w:sdtPr>
              <w:sdtContent>
                <w:tc>
                  <w:tcPr>
                    <w:tcW w:w="1713" w:type="dxa"/>
                    <w:shd w:val="clear" w:color="auto" w:fill="auto"/>
                    <w:vAlign w:val="center"/>
                  </w:tcPr>
                  <w:p>
                    <w:pPr>
                      <w:pStyle w:val="76"/>
                      <w:jc w:val="center"/>
                    </w:pPr>
                    <w:r>
                      <w:rPr>
                        <w:rFonts w:hint="eastAsia"/>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1d4e79d72fd45cc925f8729ecef795c"/>
                <w:id w:val="25154811"/>
                <w:lock w:val="sdtLocked"/>
              </w:sdtPr>
              <w:sdtContent>
                <w:tc>
                  <w:tcPr>
                    <w:tcW w:w="2566" w:type="dxa"/>
                    <w:shd w:val="clear" w:color="auto" w:fill="auto"/>
                  </w:tcPr>
                  <w:p>
                    <w:pPr>
                      <w:pStyle w:val="76"/>
                    </w:pPr>
                    <w:r>
                      <w:rPr>
                        <w:rFonts w:hint="eastAsia"/>
                      </w:rPr>
                      <w:t>一、账面原值：</w:t>
                    </w:r>
                  </w:p>
                </w:tc>
              </w:sdtContent>
            </w:sdt>
            <w:tc>
              <w:tcPr>
                <w:tcW w:w="1538" w:type="dxa"/>
                <w:shd w:val="clear" w:color="auto" w:fill="auto"/>
                <w:vAlign w:val="center"/>
              </w:tcPr>
              <w:p>
                <w:pPr>
                  <w:pStyle w:val="76"/>
                  <w:jc w:val="center"/>
                </w:pPr>
              </w:p>
            </w:tc>
            <w:tc>
              <w:tcPr>
                <w:tcW w:w="1538" w:type="dxa"/>
                <w:shd w:val="clear" w:color="auto" w:fill="auto"/>
                <w:vAlign w:val="center"/>
              </w:tcPr>
              <w:p>
                <w:pPr>
                  <w:pStyle w:val="76"/>
                  <w:jc w:val="center"/>
                </w:pPr>
              </w:p>
            </w:tc>
            <w:tc>
              <w:tcPr>
                <w:tcW w:w="1538" w:type="dxa"/>
                <w:shd w:val="clear" w:color="auto" w:fill="auto"/>
                <w:vAlign w:val="center"/>
              </w:tcPr>
              <w:p>
                <w:pPr>
                  <w:pStyle w:val="76"/>
                  <w:jc w:val="center"/>
                </w:pPr>
              </w:p>
            </w:tc>
            <w:tc>
              <w:tcPr>
                <w:tcW w:w="1713" w:type="dxa"/>
                <w:shd w:val="clear" w:color="auto" w:fill="auto"/>
                <w:vAlign w:val="center"/>
              </w:tcPr>
              <w:p>
                <w:pPr>
                  <w:pStyle w:val="7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6089fd0a4a0479c8c1f36c514cb7ecd"/>
                <w:id w:val="25154812"/>
                <w:lock w:val="sdtLocked"/>
              </w:sdtPr>
              <w:sdtContent>
                <w:tc>
                  <w:tcPr>
                    <w:tcW w:w="2566" w:type="dxa"/>
                    <w:shd w:val="clear" w:color="auto" w:fill="auto"/>
                  </w:tcPr>
                  <w:p>
                    <w:pPr>
                      <w:pStyle w:val="76"/>
                      <w:ind w:firstLine="420" w:firstLineChars="200"/>
                    </w:pPr>
                    <w:r>
                      <w:t>1.</w:t>
                    </w:r>
                    <w:r>
                      <w:rPr>
                        <w:rFonts w:hint="eastAsia"/>
                      </w:rPr>
                      <w:t>期初余额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8,354,903,048.14</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10,149,763,240.10</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785,847.11</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18,505,452,135.35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e436c0e086043f0a5f400c99fbf0df9"/>
                <w:id w:val="25154813"/>
                <w:lock w:val="sdtLocked"/>
              </w:sdtPr>
              <w:sdtContent>
                <w:tc>
                  <w:tcPr>
                    <w:tcW w:w="2566" w:type="dxa"/>
                    <w:shd w:val="clear" w:color="auto" w:fill="auto"/>
                  </w:tcPr>
                  <w:p>
                    <w:pPr>
                      <w:pStyle w:val="76"/>
                      <w:ind w:firstLine="420" w:firstLineChars="200"/>
                    </w:pPr>
                    <w:r>
                      <w:t>2.</w:t>
                    </w:r>
                    <w:r>
                      <w:rPr>
                        <w:rFonts w:hint="eastAsia"/>
                      </w:rPr>
                      <w:t>本期增加金额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-3,877,865.64</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4,872,984.14</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995,118.50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2f208e0e9cd4154b48b25225e9d4e33"/>
                <w:id w:val="25154814"/>
                <w:lock w:val="sdtLocked"/>
              </w:sdtPr>
              <w:sdtContent>
                <w:tc>
                  <w:tcPr>
                    <w:tcW w:w="2566" w:type="dxa"/>
                    <w:shd w:val="clear" w:color="auto" w:fill="auto"/>
                  </w:tcPr>
                  <w:p>
                    <w:pPr>
                      <w:pStyle w:val="76"/>
                      <w:ind w:firstLine="630" w:firstLineChars="300"/>
                    </w:pPr>
                    <w:r>
                      <w:rPr>
                        <w:rFonts w:hint="eastAsia"/>
                      </w:rPr>
                      <w:t>（1）购置</w:t>
                    </w:r>
                  </w:p>
                </w:tc>
              </w:sdtContent>
            </w:sdt>
            <w:tc>
              <w:tcPr>
                <w:tcW w:w="1538" w:type="dxa"/>
                <w:shd w:val="clear" w:color="auto" w:fill="auto"/>
                <w:vAlign w:val="center"/>
              </w:tcPr>
              <w:p>
                <w:pPr>
                  <w:pStyle w:val="76"/>
                  <w:jc w:val="right"/>
                  <w:rPr>
                    <w:rFonts w:ascii="Arial Narrow" w:hAnsi="Arial Narrow"/>
                    <w:sz w:val="18"/>
                    <w:szCs w:val="18"/>
                  </w:rPr>
                </w:pP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980,341.9</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980,341.90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c449c35eb24a41ae87b7fabcc7ac49f2"/>
                <w:id w:val="25154815"/>
                <w:lock w:val="sdtLocked"/>
              </w:sdtPr>
              <w:sdtContent>
                <w:tc>
                  <w:tcPr>
                    <w:tcW w:w="2566" w:type="dxa"/>
                    <w:shd w:val="clear" w:color="auto" w:fill="auto"/>
                  </w:tcPr>
                  <w:p>
                    <w:pPr>
                      <w:pStyle w:val="76"/>
                      <w:ind w:firstLine="630" w:firstLineChars="300"/>
                    </w:pPr>
                    <w:r>
                      <w:rPr>
                        <w:rFonts w:hint="eastAsia"/>
                      </w:rPr>
                      <w:t>（2）在建工程转入</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-3,877,865.64</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3,892,642.24</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14,776.60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c36f9524fa147baa9fa4bde2c6a8612"/>
                <w:id w:val="25154816"/>
                <w:lock w:val="sdtLocked"/>
              </w:sdtPr>
              <w:sdtContent>
                <w:tc>
                  <w:tcPr>
                    <w:tcW w:w="2566" w:type="dxa"/>
                    <w:shd w:val="clear" w:color="auto" w:fill="auto"/>
                  </w:tcPr>
                  <w:p>
                    <w:pPr>
                      <w:pStyle w:val="76"/>
                      <w:ind w:firstLine="630" w:firstLineChars="300"/>
                    </w:pPr>
                    <w:r>
                      <w:rPr>
                        <w:rFonts w:hint="eastAsia"/>
                      </w:rPr>
                      <w:t>（3）企业合并增加</w:t>
                    </w:r>
                  </w:p>
                </w:tc>
              </w:sdtContent>
            </w:sdt>
            <w:tc>
              <w:tcPr>
                <w:tcW w:w="1538" w:type="dxa"/>
                <w:shd w:val="clear" w:color="auto" w:fill="auto"/>
                <w:vAlign w:val="center"/>
              </w:tcPr>
              <w:p>
                <w:pPr>
                  <w:pStyle w:val="76"/>
                  <w:jc w:val="right"/>
                  <w:rPr>
                    <w:rFonts w:ascii="Arial Narrow" w:hAnsi="Arial Narrow"/>
                    <w:sz w:val="18"/>
                    <w:szCs w:val="18"/>
                  </w:rPr>
                </w:pPr>
              </w:p>
            </w:tc>
            <w:tc>
              <w:tcPr>
                <w:tcW w:w="1538" w:type="dxa"/>
                <w:shd w:val="clear" w:color="auto" w:fill="auto"/>
                <w:vAlign w:val="center"/>
              </w:tcPr>
              <w:p>
                <w:pPr>
                  <w:pStyle w:val="76"/>
                  <w:jc w:val="right"/>
                  <w:rPr>
                    <w:rFonts w:ascii="Arial Narrow" w:hAnsi="Arial Narrow"/>
                    <w:sz w:val="18"/>
                    <w:szCs w:val="18"/>
                  </w:rPr>
                </w:pP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dfb162daa7694866a1c4e80fabb81d52"/>
                <w:id w:val="25154817"/>
                <w:lock w:val="sdtLocked"/>
              </w:sdtPr>
              <w:sdtContent>
                <w:tc>
                  <w:tcPr>
                    <w:tcW w:w="2566" w:type="dxa"/>
                    <w:shd w:val="clear" w:color="auto" w:fill="auto"/>
                  </w:tcPr>
                  <w:p>
                    <w:pPr>
                      <w:pStyle w:val="76"/>
                      <w:ind w:firstLine="525" w:firstLineChars="250"/>
                    </w:pPr>
                    <w:r>
                      <w:rPr>
                        <w:rFonts w:hint="eastAsia"/>
                      </w:rPr>
                      <w:t>3.本期减少金额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3,692,630.51</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703,324.43</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4,395,954.94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ee37578c2514ed28988969e830aeae7"/>
                <w:id w:val="25154818"/>
                <w:lock w:val="sdtLocked"/>
              </w:sdtPr>
              <w:sdtContent>
                <w:tc>
                  <w:tcPr>
                    <w:tcW w:w="2566" w:type="dxa"/>
                    <w:shd w:val="clear" w:color="auto" w:fill="auto"/>
                  </w:tcPr>
                  <w:p>
                    <w:pPr>
                      <w:pStyle w:val="76"/>
                      <w:ind w:firstLine="630" w:firstLineChars="300"/>
                    </w:pPr>
                    <w:r>
                      <w:rPr>
                        <w:rFonts w:hint="eastAsia"/>
                      </w:rPr>
                      <w:t>（1）处置或报废</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3,692,630.51</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703,324.43</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4,395,954.94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249206a916954d19ba9495bb5be5eb90"/>
                <w:id w:val="25154819"/>
                <w:lock w:val="sdtLocked"/>
              </w:sdtPr>
              <w:sdtContent>
                <w:tc>
                  <w:tcPr>
                    <w:tcW w:w="2566" w:type="dxa"/>
                    <w:shd w:val="clear" w:color="auto" w:fill="auto"/>
                  </w:tcPr>
                  <w:p>
                    <w:pPr>
                      <w:pStyle w:val="76"/>
                      <w:ind w:firstLine="420" w:firstLineChars="200"/>
                    </w:pPr>
                    <w:r>
                      <w:rPr>
                        <w:rFonts w:hint="eastAsia"/>
                      </w:rPr>
                      <w:t>4.期末余额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8,347,332,551.99</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10,153,932,899.81</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785,847.11</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18,502,051,298.91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3b9a984e6e834331844252acd1c6a321"/>
                <w:id w:val="25154820"/>
                <w:lock w:val="sdtLocked"/>
              </w:sdtPr>
              <w:sdtContent>
                <w:tc>
                  <w:tcPr>
                    <w:tcW w:w="2566" w:type="dxa"/>
                    <w:shd w:val="clear" w:color="auto" w:fill="auto"/>
                  </w:tcPr>
                  <w:p>
                    <w:pPr>
                      <w:pStyle w:val="76"/>
                    </w:pPr>
                    <w:r>
                      <w:rPr>
                        <w:rFonts w:hint="eastAsia"/>
                      </w:rPr>
                      <w:t>二、累计折旧</w:t>
                    </w:r>
                  </w:p>
                </w:tc>
              </w:sdtContent>
            </w:sdt>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713" w:type="dxa"/>
                <w:shd w:val="clear" w:color="auto" w:fill="auto"/>
                <w:vAlign w:val="center"/>
              </w:tcPr>
              <w:p>
                <w:pPr>
                  <w:pStyle w:val="76"/>
                  <w:jc w:val="center"/>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4ae2b083a314e62b85f562d3dbe5c24"/>
                <w:id w:val="25154821"/>
                <w:lock w:val="sdtLocked"/>
              </w:sdtPr>
              <w:sdtContent>
                <w:tc>
                  <w:tcPr>
                    <w:tcW w:w="2566" w:type="dxa"/>
                    <w:shd w:val="clear" w:color="auto" w:fill="auto"/>
                  </w:tcPr>
                  <w:p>
                    <w:pPr>
                      <w:pStyle w:val="76"/>
                      <w:ind w:firstLine="420" w:firstLineChars="200"/>
                    </w:pPr>
                    <w:r>
                      <w:t>1.</w:t>
                    </w:r>
                    <w:r>
                      <w:rPr>
                        <w:rFonts w:hint="eastAsia"/>
                      </w:rPr>
                      <w:t>期初余额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2,593,501,624.70</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6,136,301,256.45</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600,626.38</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8,730,403,507.53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f15b887e02c4ec6b52b0f15c4e97c9c"/>
                <w:id w:val="25154822"/>
                <w:lock w:val="sdtLocked"/>
              </w:sdtPr>
              <w:sdtContent>
                <w:tc>
                  <w:tcPr>
                    <w:tcW w:w="2566" w:type="dxa"/>
                    <w:shd w:val="clear" w:color="auto" w:fill="auto"/>
                  </w:tcPr>
                  <w:p>
                    <w:pPr>
                      <w:pStyle w:val="76"/>
                      <w:ind w:firstLine="420" w:firstLineChars="200"/>
                    </w:pPr>
                    <w:r>
                      <w:t>2.</w:t>
                    </w:r>
                    <w:r>
                      <w:rPr>
                        <w:rFonts w:hint="eastAsia"/>
                      </w:rPr>
                      <w:t>本期增加金额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128,671,681.35</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304,371,776.66</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39,230.76</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433,082,688.77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957ada504474bfcb99282b7912be7e4"/>
                <w:id w:val="25154823"/>
                <w:lock w:val="sdtLocked"/>
              </w:sdtPr>
              <w:sdtContent>
                <w:tc>
                  <w:tcPr>
                    <w:tcW w:w="2566" w:type="dxa"/>
                    <w:shd w:val="clear" w:color="auto" w:fill="auto"/>
                  </w:tcPr>
                  <w:p>
                    <w:pPr>
                      <w:pStyle w:val="76"/>
                      <w:ind w:firstLine="630" w:firstLineChars="300"/>
                    </w:pPr>
                    <w:r>
                      <w:rPr>
                        <w:rFonts w:hint="eastAsia"/>
                      </w:rPr>
                      <w:t>（1）计提</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128,671,681.35</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304,371,776.66</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39,230.76</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433,082,688.77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c9558ad6e194439bc7519617b9fda17"/>
                <w:id w:val="25154824"/>
                <w:lock w:val="sdtLocked"/>
              </w:sdtPr>
              <w:sdtContent>
                <w:tc>
                  <w:tcPr>
                    <w:tcW w:w="2566" w:type="dxa"/>
                    <w:shd w:val="clear" w:color="auto" w:fill="auto"/>
                  </w:tcPr>
                  <w:p>
                    <w:pPr>
                      <w:pStyle w:val="76"/>
                      <w:ind w:firstLine="420" w:firstLineChars="200"/>
                    </w:pPr>
                    <w:r>
                      <w:rPr>
                        <w:rFonts w:hint="eastAsia"/>
                      </w:rPr>
                      <w:t>3.本期减少金额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649,873.79</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608,491.89</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1,258,365.68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ee3d83bd53d480fa0f8ca39eef2375d"/>
                <w:id w:val="25154825"/>
                <w:lock w:val="sdtLocked"/>
              </w:sdtPr>
              <w:sdtContent>
                <w:tc>
                  <w:tcPr>
                    <w:tcW w:w="2566" w:type="dxa"/>
                    <w:shd w:val="clear" w:color="auto" w:fill="auto"/>
                  </w:tcPr>
                  <w:p>
                    <w:pPr>
                      <w:pStyle w:val="76"/>
                      <w:ind w:firstLine="630" w:firstLineChars="300"/>
                    </w:pPr>
                    <w:r>
                      <w:rPr>
                        <w:rFonts w:hint="eastAsia"/>
                      </w:rPr>
                      <w:t>（1）处置或报废</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649,873.79</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608,491.89</w:t>
                </w:r>
              </w:p>
            </w:tc>
            <w:tc>
              <w:tcPr>
                <w:tcW w:w="1538" w:type="dxa"/>
                <w:shd w:val="clear" w:color="auto" w:fill="auto"/>
                <w:vAlign w:val="center"/>
              </w:tcPr>
              <w:p>
                <w:pPr>
                  <w:pStyle w:val="76"/>
                  <w:jc w:val="right"/>
                  <w:rPr>
                    <w:rFonts w:ascii="Arial Narrow" w:hAnsi="Arial Narrow"/>
                    <w:sz w:val="18"/>
                    <w:szCs w:val="18"/>
                  </w:rPr>
                </w:pP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1,258,365.68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6eaa2035e58e4e21885400a2e0bb3a60"/>
                <w:id w:val="25154826"/>
                <w:lock w:val="sdtLocked"/>
              </w:sdtPr>
              <w:sdtContent>
                <w:tc>
                  <w:tcPr>
                    <w:tcW w:w="2566" w:type="dxa"/>
                    <w:shd w:val="clear" w:color="auto" w:fill="auto"/>
                  </w:tcPr>
                  <w:p>
                    <w:pPr>
                      <w:pStyle w:val="76"/>
                      <w:ind w:firstLine="420" w:firstLineChars="200"/>
                    </w:pPr>
                    <w:r>
                      <w:rPr>
                        <w:rFonts w:hint="eastAsia"/>
                      </w:rPr>
                      <w:t>4.期末余额</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2,721,523,432.26</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6,440,064,541.22</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639,857.14</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9,162,227,830.62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662c84047b6d41648e46d047cc9b134a"/>
                <w:id w:val="25154827"/>
                <w:lock w:val="sdtLocked"/>
              </w:sdtPr>
              <w:sdtContent>
                <w:tc>
                  <w:tcPr>
                    <w:tcW w:w="2566" w:type="dxa"/>
                    <w:shd w:val="clear" w:color="auto" w:fill="auto"/>
                  </w:tcPr>
                  <w:p>
                    <w:pPr>
                      <w:pStyle w:val="76"/>
                    </w:pPr>
                    <w:r>
                      <w:rPr>
                        <w:rFonts w:hint="eastAsia"/>
                      </w:rPr>
                      <w:t>三、减值准备</w:t>
                    </w:r>
                  </w:p>
                </w:tc>
              </w:sdtContent>
            </w:sdt>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713"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ea29c32f5204124a483fa6e274ca7df"/>
                <w:id w:val="25154828"/>
                <w:lock w:val="sdtLocked"/>
              </w:sdtPr>
              <w:sdtContent>
                <w:tc>
                  <w:tcPr>
                    <w:tcW w:w="2566" w:type="dxa"/>
                    <w:shd w:val="clear" w:color="auto" w:fill="auto"/>
                  </w:tcPr>
                  <w:p>
                    <w:pPr>
                      <w:pStyle w:val="76"/>
                    </w:pPr>
                    <w:r>
                      <w:rPr>
                        <w:rFonts w:hint="eastAsia"/>
                      </w:rPr>
                      <w:t>四、账面价值</w:t>
                    </w:r>
                  </w:p>
                </w:tc>
              </w:sdtContent>
            </w:sdt>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538"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c>
              <w:tcPr>
                <w:tcW w:w="1713" w:type="dxa"/>
                <w:shd w:val="clear" w:color="auto" w:fill="auto"/>
                <w:vAlign w:val="center"/>
              </w:tcPr>
              <w:p>
                <w:pPr>
                  <w:pStyle w:val="76"/>
                  <w:jc w:val="center"/>
                  <w:rPr>
                    <w:rFonts w:ascii="Arial Narrow" w:hAnsi="Arial Narrow"/>
                    <w:sz w:val="18"/>
                    <w:szCs w:val="18"/>
                  </w:rPr>
                </w:pPr>
                <w:r>
                  <w:rPr>
                    <w:rFonts w:ascii="Arial Narrow" w:hAnsi="Arial Narrow"/>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cb15efd736e4fb48f835ee67e79495e"/>
                <w:id w:val="25154829"/>
                <w:lock w:val="sdtLocked"/>
              </w:sdtPr>
              <w:sdtContent>
                <w:tc>
                  <w:tcPr>
                    <w:tcW w:w="2566" w:type="dxa"/>
                    <w:shd w:val="clear" w:color="auto" w:fill="auto"/>
                  </w:tcPr>
                  <w:p>
                    <w:pPr>
                      <w:pStyle w:val="76"/>
                      <w:ind w:firstLine="420" w:firstLineChars="200"/>
                    </w:pPr>
                    <w:r>
                      <w:rPr>
                        <w:rFonts w:hint="eastAsia"/>
                      </w:rPr>
                      <w:t>1.期末账面价值</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5,625,809,119.73</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3,713,868,358.59</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145,989.97</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9,339,823,468.29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a70238af5ae41dda386e3180cb5ac13"/>
                <w:id w:val="25154830"/>
                <w:lock w:val="sdtLocked"/>
              </w:sdtPr>
              <w:sdtContent>
                <w:tc>
                  <w:tcPr>
                    <w:tcW w:w="2566" w:type="dxa"/>
                    <w:shd w:val="clear" w:color="auto" w:fill="auto"/>
                  </w:tcPr>
                  <w:p>
                    <w:pPr>
                      <w:pStyle w:val="76"/>
                      <w:ind w:firstLine="420" w:firstLineChars="200"/>
                    </w:pPr>
                    <w:r>
                      <w:rPr>
                        <w:rFonts w:hint="eastAsia"/>
                      </w:rPr>
                      <w:t>2.期初账面价值</w:t>
                    </w:r>
                  </w:p>
                </w:tc>
              </w:sdtContent>
            </w:sdt>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5,761,401,423.44</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4,013,461,983.65</w:t>
                </w:r>
              </w:p>
            </w:tc>
            <w:tc>
              <w:tcPr>
                <w:tcW w:w="1538" w:type="dxa"/>
                <w:shd w:val="clear" w:color="auto" w:fill="auto"/>
                <w:vAlign w:val="center"/>
              </w:tcPr>
              <w:p>
                <w:pPr>
                  <w:pStyle w:val="76"/>
                  <w:jc w:val="right"/>
                  <w:rPr>
                    <w:rFonts w:ascii="Arial Narrow" w:hAnsi="Arial Narrow"/>
                    <w:sz w:val="18"/>
                    <w:szCs w:val="18"/>
                  </w:rPr>
                </w:pPr>
                <w:r>
                  <w:rPr>
                    <w:rFonts w:ascii="Arial Narrow" w:hAnsi="Arial Narrow"/>
                    <w:sz w:val="18"/>
                    <w:szCs w:val="18"/>
                  </w:rPr>
                  <w:t>185,220.73</w:t>
                </w:r>
              </w:p>
            </w:tc>
            <w:tc>
              <w:tcPr>
                <w:tcW w:w="1713" w:type="dxa"/>
                <w:shd w:val="clear" w:color="auto" w:fill="auto"/>
                <w:vAlign w:val="center"/>
              </w:tcPr>
              <w:p>
                <w:pPr>
                  <w:pStyle w:val="76"/>
                  <w:jc w:val="right"/>
                  <w:rPr>
                    <w:rFonts w:ascii="Arial Narrow" w:hAnsi="Arial Narrow"/>
                    <w:sz w:val="18"/>
                    <w:szCs w:val="18"/>
                  </w:rPr>
                </w:pPr>
                <w:r>
                  <w:rPr>
                    <w:rFonts w:ascii="Arial Narrow" w:hAnsi="Arial Narrow"/>
                    <w:sz w:val="18"/>
                    <w:szCs w:val="18"/>
                  </w:rPr>
                  <w:t>9,775,048,627.82</w:t>
                </w:r>
              </w:p>
            </w:tc>
          </w:tr>
        </w:tbl>
        <w:p>
          <w:pPr>
            <w:pStyle w:val="76"/>
          </w:pPr>
        </w:p>
        <w:p>
          <w:pPr>
            <w:pStyle w:val="76"/>
            <w:rPr>
              <w:szCs w:val="21"/>
            </w:rPr>
          </w:pPr>
        </w:p>
      </w:sdtContent>
    </w:sdt>
    <w:sdt>
      <w:sdtPr>
        <w:rPr>
          <w:rFonts w:hint="eastAsia" w:ascii="宋体" w:hAnsi="宋体" w:cs="宋体"/>
          <w:b w:val="0"/>
          <w:bCs w:val="0"/>
          <w:kern w:val="0"/>
          <w:szCs w:val="21"/>
        </w:rPr>
        <w:alias w:val="模块:暂时闲置的固定资产情况"/>
        <w:tag w:val="_GBC_77e89169b7ab4fccae8cff3d8a125711"/>
        <w:id w:val="25154833"/>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0"/>
              <w:numId w:val="57"/>
            </w:numPr>
            <w:tabs>
              <w:tab w:val="left" w:pos="588"/>
            </w:tabs>
            <w:rPr>
              <w:rFonts w:ascii="宋体" w:hAnsi="宋体"/>
              <w:kern w:val="0"/>
              <w:szCs w:val="21"/>
            </w:rPr>
          </w:pPr>
          <w:r>
            <w:rPr>
              <w:rFonts w:hint="eastAsia" w:ascii="宋体" w:hAnsi="宋体"/>
              <w:szCs w:val="21"/>
            </w:rPr>
            <w:t>暂时</w:t>
          </w:r>
          <w:r>
            <w:rPr>
              <w:rFonts w:hint="eastAsia" w:ascii="宋体" w:hAnsi="宋体"/>
              <w:kern w:val="0"/>
              <w:szCs w:val="21"/>
            </w:rPr>
            <w:t>闲置的固定资产情况</w:t>
          </w:r>
        </w:p>
        <w:p>
          <w:pPr>
            <w:pStyle w:val="76"/>
            <w:rPr>
              <w:szCs w:val="21"/>
            </w:rPr>
          </w:pPr>
          <w:sdt>
            <w:sdtPr>
              <w:alias w:val="是否适用：暂时闲置的固定资产情况[双击切换]"/>
              <w:tag w:val="_GBC_ca31f29118c7481f95f99a2655f8c1e1"/>
              <w:id w:val="25154832"/>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通过融资租赁租入的固定资产情况"/>
        <w:tag w:val="_GBC_f8dc7bf0df9345f6a1581560999dd4d8"/>
        <w:id w:val="25154835"/>
        <w:lock w:val="sdtLocked"/>
        <w:placeholder>
          <w:docPart w:val="GBC22222222222222222222222222222"/>
        </w:placeholder>
      </w:sdtPr>
      <w:sdtEndPr>
        <w:rPr>
          <w:rFonts w:hint="default" w:ascii="宋体" w:hAnsi="宋体" w:cstheme="minorBidi"/>
          <w:b w:val="0"/>
          <w:bCs w:val="0"/>
          <w:kern w:val="2"/>
          <w:szCs w:val="21"/>
        </w:rPr>
      </w:sdtEndPr>
      <w:sdtContent>
        <w:p>
          <w:pPr>
            <w:pStyle w:val="80"/>
            <w:numPr>
              <w:ilvl w:val="0"/>
              <w:numId w:val="57"/>
            </w:numPr>
            <w:tabs>
              <w:tab w:val="left" w:pos="588"/>
            </w:tabs>
            <w:rPr>
              <w:rFonts w:ascii="宋体" w:hAnsi="宋体"/>
              <w:kern w:val="0"/>
              <w:szCs w:val="21"/>
            </w:rPr>
          </w:pPr>
          <w:r>
            <w:rPr>
              <w:rFonts w:hint="eastAsia" w:ascii="宋体" w:hAnsi="宋体"/>
              <w:kern w:val="0"/>
              <w:szCs w:val="21"/>
            </w:rPr>
            <w:t>通过</w:t>
          </w:r>
          <w:r>
            <w:rPr>
              <w:rFonts w:hint="eastAsia" w:ascii="宋体" w:hAnsi="宋体"/>
              <w:szCs w:val="21"/>
            </w:rPr>
            <w:t>融资租赁</w:t>
          </w:r>
          <w:r>
            <w:rPr>
              <w:rFonts w:hint="eastAsia" w:ascii="宋体" w:hAnsi="宋体"/>
              <w:kern w:val="0"/>
              <w:szCs w:val="21"/>
            </w:rPr>
            <w:t>租入的固定资产情况</w:t>
          </w:r>
        </w:p>
        <w:p>
          <w:pPr>
            <w:pStyle w:val="76"/>
            <w:rPr>
              <w:szCs w:val="21"/>
            </w:rPr>
          </w:pPr>
          <w:sdt>
            <w:sdtPr>
              <w:alias w:val="是否适用：通过融资租赁租入的固定资产情况[双击切换]"/>
              <w:tag w:val="_GBC_17a138c76e604d1b9b48d7c64e72801d"/>
              <w:id w:val="25154834"/>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通过经营租赁租出的固定资产"/>
        <w:tag w:val="_GBC_06e38c241c8a43a99fdd68c92888bab1"/>
        <w:id w:val="25154837"/>
        <w:lock w:val="sdtLocked"/>
        <w:placeholder>
          <w:docPart w:val="GBC22222222222222222222222222222"/>
        </w:placeholder>
      </w:sdtPr>
      <w:sdtEndPr>
        <w:rPr>
          <w:rFonts w:hint="default" w:ascii="宋体" w:hAnsi="宋体" w:cs="宋体"/>
          <w:b w:val="0"/>
          <w:bCs w:val="0"/>
          <w:color w:val="FF0000"/>
          <w:kern w:val="0"/>
          <w:szCs w:val="21"/>
        </w:rPr>
      </w:sdtEndPr>
      <w:sdtContent>
        <w:p>
          <w:pPr>
            <w:pStyle w:val="80"/>
            <w:numPr>
              <w:ilvl w:val="0"/>
              <w:numId w:val="57"/>
            </w:numPr>
            <w:tabs>
              <w:tab w:val="left" w:pos="588"/>
            </w:tabs>
            <w:rPr>
              <w:rFonts w:ascii="宋体" w:hAnsi="宋体"/>
              <w:kern w:val="0"/>
              <w:szCs w:val="21"/>
            </w:rPr>
          </w:pPr>
          <w:r>
            <w:rPr>
              <w:rFonts w:hint="eastAsia" w:ascii="宋体" w:hAnsi="宋体"/>
              <w:szCs w:val="21"/>
            </w:rPr>
            <w:t>通过</w:t>
          </w:r>
          <w:r>
            <w:rPr>
              <w:rFonts w:hint="eastAsia" w:ascii="宋体" w:hAnsi="宋体"/>
              <w:kern w:val="0"/>
              <w:szCs w:val="21"/>
            </w:rPr>
            <w:t>经营租赁租出的固定资产</w:t>
          </w:r>
        </w:p>
        <w:sdt>
          <w:sdtPr>
            <w:alias w:val="是否适用：通过经营租赁租出的固定资产[双击切换]"/>
            <w:tag w:val="_GBC_251e1c74f40b47869d759974b0f6a463"/>
            <w:id w:val="25154836"/>
            <w:lock w:val="sdtContentLocked"/>
            <w:placeholder>
              <w:docPart w:val="GBC22222222222222222222222222222"/>
            </w:placeholder>
          </w:sdtPr>
          <w:sdtContent>
            <w:p>
              <w:pPr>
                <w:pStyle w:val="76"/>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未办妥产权证书的固定资产情况"/>
        <w:tag w:val="_GBC_5b357259936442c38f67f17b533c7085"/>
        <w:id w:val="25154846"/>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57"/>
            </w:numPr>
            <w:tabs>
              <w:tab w:val="left" w:pos="588"/>
            </w:tabs>
            <w:rPr>
              <w:rFonts w:ascii="宋体" w:hAnsi="宋体"/>
              <w:kern w:val="0"/>
              <w:szCs w:val="21"/>
            </w:rPr>
          </w:pPr>
          <w:r>
            <w:rPr>
              <w:rFonts w:hint="eastAsia" w:ascii="宋体" w:hAnsi="宋体"/>
              <w:kern w:val="0"/>
              <w:szCs w:val="21"/>
            </w:rPr>
            <w:t>未</w:t>
          </w:r>
          <w:r>
            <w:rPr>
              <w:rFonts w:hint="eastAsia" w:ascii="宋体" w:hAnsi="宋体"/>
              <w:szCs w:val="21"/>
            </w:rPr>
            <w:t>办妥</w:t>
          </w:r>
          <w:r>
            <w:rPr>
              <w:rFonts w:hint="eastAsia" w:ascii="宋体" w:hAnsi="宋体"/>
              <w:kern w:val="0"/>
              <w:szCs w:val="21"/>
            </w:rPr>
            <w:t>产权证书的固定资产情况</w:t>
          </w:r>
        </w:p>
        <w:sdt>
          <w:sdtPr>
            <w:alias w:val="是否适用：未办妥产权证书的固定资产情况[双击切换]"/>
            <w:tag w:val="_GBC_a26aa363313e4c8fbedf9041cd41bfc9"/>
            <w:id w:val="251548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未办妥产权证书的固定资产情况"/>
              <w:tag w:val="_GBC_b7780eb99c5c47be9731dc6ebe1dea77"/>
              <w:id w:val="25154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25154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3042"/>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347e8d2222c4d13aa7c3569cd05e439"/>
                <w:id w:val="25154841"/>
                <w:lock w:val="sdtLocked"/>
              </w:sdtPr>
              <w:sdtContent>
                <w:tc>
                  <w:tcPr>
                    <w:tcW w:w="2948" w:type="dxa"/>
                    <w:vAlign w:val="center"/>
                  </w:tcPr>
                  <w:p>
                    <w:pPr>
                      <w:pStyle w:val="76"/>
                      <w:jc w:val="center"/>
                      <w:rPr>
                        <w:szCs w:val="21"/>
                      </w:rPr>
                    </w:pPr>
                    <w:r>
                      <w:rPr>
                        <w:rFonts w:hint="eastAsia"/>
                        <w:szCs w:val="21"/>
                      </w:rPr>
                      <w:t>项目</w:t>
                    </w:r>
                  </w:p>
                </w:tc>
              </w:sdtContent>
            </w:sdt>
            <w:sdt>
              <w:sdtPr>
                <w:tag w:val="_PLD_e14c4b6f9d874d4c86e835843a896497"/>
                <w:id w:val="25154842"/>
                <w:lock w:val="sdtLocked"/>
              </w:sdtPr>
              <w:sdtContent>
                <w:tc>
                  <w:tcPr>
                    <w:tcW w:w="3042" w:type="dxa"/>
                    <w:vAlign w:val="center"/>
                  </w:tcPr>
                  <w:p>
                    <w:pPr>
                      <w:pStyle w:val="76"/>
                      <w:jc w:val="center"/>
                      <w:rPr>
                        <w:szCs w:val="21"/>
                      </w:rPr>
                    </w:pPr>
                    <w:r>
                      <w:rPr>
                        <w:rFonts w:hint="eastAsia"/>
                        <w:szCs w:val="21"/>
                      </w:rPr>
                      <w:t>账面价值</w:t>
                    </w:r>
                  </w:p>
                </w:tc>
              </w:sdtContent>
            </w:sdt>
            <w:sdt>
              <w:sdtPr>
                <w:tag w:val="_PLD_0735ea1c6b5c4a2395fde5f63b614530"/>
                <w:id w:val="25154843"/>
                <w:lock w:val="sdtLocked"/>
              </w:sdtPr>
              <w:sdtContent>
                <w:tc>
                  <w:tcPr>
                    <w:tcW w:w="3059" w:type="dxa"/>
                    <w:vAlign w:val="center"/>
                  </w:tcPr>
                  <w:p>
                    <w:pPr>
                      <w:pStyle w:val="76"/>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2515484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8" w:type="dxa"/>
                  </w:tcPr>
                  <w:p>
                    <w:pPr>
                      <w:pStyle w:val="76"/>
                      <w:rPr>
                        <w:szCs w:val="21"/>
                      </w:rPr>
                    </w:pPr>
                    <w:r>
                      <w:t>房屋</w:t>
                    </w:r>
                  </w:p>
                </w:tc>
                <w:tc>
                  <w:tcPr>
                    <w:tcW w:w="3042" w:type="dxa"/>
                  </w:tcPr>
                  <w:p>
                    <w:pPr>
                      <w:pStyle w:val="76"/>
                      <w:jc w:val="right"/>
                      <w:rPr>
                        <w:szCs w:val="21"/>
                      </w:rPr>
                    </w:pPr>
                    <w:r>
                      <w:t>770,625,454.62</w:t>
                    </w:r>
                  </w:p>
                </w:tc>
                <w:tc>
                  <w:tcPr>
                    <w:tcW w:w="3059" w:type="dxa"/>
                  </w:tcPr>
                  <w:p>
                    <w:pPr>
                      <w:pStyle w:val="76"/>
                      <w:rPr>
                        <w:szCs w:val="21"/>
                      </w:rPr>
                    </w:pPr>
                    <w:r>
                      <w:t>待办理</w:t>
                    </w:r>
                  </w:p>
                </w:tc>
              </w:tr>
            </w:sdtContent>
          </w:sdt>
          <w:sdt>
            <w:sdtPr>
              <w:rPr>
                <w:rFonts w:hint="eastAsia"/>
                <w:szCs w:val="21"/>
              </w:rPr>
              <w:alias w:val="未办妥产权证书的固定资产情况明细"/>
              <w:tag w:val="_GBC_197aee8b2edc4ea19721e86529111007"/>
              <w:id w:val="2515484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8" w:type="dxa"/>
                  </w:tcPr>
                  <w:p>
                    <w:pPr>
                      <w:pStyle w:val="76"/>
                      <w:rPr>
                        <w:szCs w:val="21"/>
                      </w:rPr>
                    </w:pPr>
                    <w:r>
                      <w:t>合计</w:t>
                    </w:r>
                  </w:p>
                </w:tc>
                <w:tc>
                  <w:tcPr>
                    <w:tcW w:w="3042" w:type="dxa"/>
                  </w:tcPr>
                  <w:p>
                    <w:pPr>
                      <w:pStyle w:val="76"/>
                      <w:jc w:val="right"/>
                      <w:rPr>
                        <w:szCs w:val="21"/>
                      </w:rPr>
                    </w:pPr>
                    <w:r>
                      <w:t>770,625,454.62</w:t>
                    </w:r>
                  </w:p>
                </w:tc>
                <w:tc>
                  <w:tcPr>
                    <w:tcW w:w="3059" w:type="dxa"/>
                  </w:tcPr>
                  <w:p>
                    <w:pPr>
                      <w:pStyle w:val="76"/>
                      <w:rPr>
                        <w:szCs w:val="21"/>
                      </w:rPr>
                    </w:pPr>
                    <w:r>
                      <w:t>　</w:t>
                    </w:r>
                  </w:p>
                </w:tc>
              </w:tr>
            </w:sdtContent>
          </w:sdt>
        </w:tbl>
        <w:p>
          <w:pPr>
            <w:pStyle w:val="76"/>
          </w:pPr>
        </w:p>
      </w:sdtContent>
    </w:sdt>
    <w:p>
      <w:pPr>
        <w:pStyle w:val="76"/>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GBC_c93a179f84504ae59ee71556bc9afb64"/>
        <w:id w:val="25154848"/>
        <w:lock w:val="sdtLocked"/>
        <w:placeholder>
          <w:docPart w:val="GBC22222222222222222222222222222"/>
        </w:placeholder>
      </w:sdtPr>
      <w:sdtEndPr>
        <w:rPr>
          <w:rFonts w:hint="default"/>
          <w:szCs w:val="21"/>
        </w:rPr>
      </w:sdtEndPr>
      <w:sdtContent>
        <w:p>
          <w:pPr>
            <w:pStyle w:val="76"/>
            <w:rPr>
              <w:szCs w:val="21"/>
            </w:rPr>
          </w:pPr>
          <w:r>
            <w:rPr>
              <w:rFonts w:hint="eastAsia"/>
              <w:szCs w:val="21"/>
            </w:rPr>
            <w:t>其他说明：</w:t>
          </w:r>
        </w:p>
        <w:sdt>
          <w:sdtPr>
            <w:rPr>
              <w:szCs w:val="21"/>
            </w:rPr>
            <w:alias w:val="是否适用：固定资产的说明[双击切换]"/>
            <w:tag w:val="_GBC_e2fd7087594d4949ada40807334de5fb"/>
            <w:id w:val="25154847"/>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color w:val="FF0000"/>
          <w:szCs w:val="21"/>
        </w:rPr>
      </w:pPr>
    </w:p>
    <w:p>
      <w:pPr>
        <w:pStyle w:val="79"/>
        <w:numPr>
          <w:ilvl w:val="0"/>
          <w:numId w:val="46"/>
        </w:numPr>
        <w:tabs>
          <w:tab w:val="left" w:pos="504"/>
        </w:tabs>
        <w:rPr>
          <w:rFonts w:ascii="宋体" w:hAnsi="宋体"/>
          <w:szCs w:val="21"/>
        </w:rPr>
      </w:pPr>
      <w:r>
        <w:rPr>
          <w:rFonts w:hint="eastAsia" w:ascii="宋体" w:hAnsi="宋体"/>
          <w:szCs w:val="21"/>
        </w:rPr>
        <w:t>在建工程</w:t>
      </w:r>
    </w:p>
    <w:sdt>
      <w:sdtPr>
        <w:rPr>
          <w:rFonts w:hint="eastAsia" w:ascii="宋体" w:hAnsi="宋体" w:cs="宋体"/>
          <w:b w:val="0"/>
          <w:bCs w:val="0"/>
          <w:kern w:val="0"/>
          <w:szCs w:val="21"/>
        </w:rPr>
        <w:alias w:val="模块:在建工程情况"/>
        <w:tag w:val="_GBC_88cd7483eb15414d84d17f5cc1a4bf78"/>
        <w:id w:val="25154867"/>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58"/>
            </w:numPr>
            <w:tabs>
              <w:tab w:val="left" w:pos="588"/>
            </w:tabs>
            <w:rPr>
              <w:rFonts w:ascii="宋体" w:hAnsi="宋体"/>
              <w:szCs w:val="21"/>
            </w:rPr>
          </w:pPr>
          <w:r>
            <w:rPr>
              <w:rFonts w:hint="eastAsia" w:ascii="宋体" w:hAnsi="宋体"/>
              <w:szCs w:val="21"/>
            </w:rPr>
            <w:t>在建工程情况</w:t>
          </w:r>
        </w:p>
        <w:sdt>
          <w:sdtPr>
            <w:alias w:val="是否适用：在建工程情况[双击切换]"/>
            <w:tag w:val="_GBC_d9828cc7ad534f26902e1979f9d67530"/>
            <w:id w:val="2515484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在建工程"/>
              <w:tag w:val="_GBC_d20598ce3f5b4d21a9055de674936a9a"/>
              <w:id w:val="251548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251548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290"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244"/>
            <w:gridCol w:w="1195"/>
            <w:gridCol w:w="1172"/>
            <w:gridCol w:w="1162"/>
            <w:gridCol w:w="1158"/>
            <w:gridCol w:w="117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27b31695edfd49cb9cafa333777d18c3"/>
                <w:id w:val="25154852"/>
                <w:lock w:val="sdtLocked"/>
              </w:sdtPr>
              <w:sdtEndPr>
                <w:rPr>
                  <w:sz w:val="18"/>
                  <w:szCs w:val="18"/>
                </w:rPr>
              </w:sdtEndPr>
              <w:sdtContent>
                <w:tc>
                  <w:tcPr>
                    <w:tcW w:w="2244" w:type="dxa"/>
                    <w:vMerge w:val="restart"/>
                    <w:vAlign w:val="center"/>
                  </w:tcPr>
                  <w:p>
                    <w:pPr>
                      <w:pStyle w:val="76"/>
                      <w:jc w:val="center"/>
                      <w:rPr>
                        <w:sz w:val="18"/>
                        <w:szCs w:val="18"/>
                      </w:rPr>
                    </w:pPr>
                    <w:r>
                      <w:rPr>
                        <w:rFonts w:hint="eastAsia"/>
                        <w:sz w:val="18"/>
                        <w:szCs w:val="18"/>
                      </w:rPr>
                      <w:t>项目</w:t>
                    </w:r>
                  </w:p>
                </w:tc>
              </w:sdtContent>
            </w:sdt>
            <w:sdt>
              <w:sdtPr>
                <w:rPr>
                  <w:sz w:val="18"/>
                  <w:szCs w:val="18"/>
                </w:rPr>
                <w:tag w:val="_PLD_a5273bde7b2f4c6c8fbe3ea2d7a7eb84"/>
                <w:id w:val="25154853"/>
                <w:lock w:val="sdtLocked"/>
              </w:sdtPr>
              <w:sdtEndPr>
                <w:rPr>
                  <w:sz w:val="18"/>
                  <w:szCs w:val="18"/>
                </w:rPr>
              </w:sdtEndPr>
              <w:sdtContent>
                <w:tc>
                  <w:tcPr>
                    <w:tcW w:w="3529" w:type="dxa"/>
                    <w:gridSpan w:val="3"/>
                    <w:vAlign w:val="center"/>
                  </w:tcPr>
                  <w:p>
                    <w:pPr>
                      <w:pStyle w:val="76"/>
                      <w:jc w:val="center"/>
                      <w:rPr>
                        <w:sz w:val="18"/>
                        <w:szCs w:val="18"/>
                      </w:rPr>
                    </w:pPr>
                    <w:r>
                      <w:rPr>
                        <w:rFonts w:hint="eastAsia"/>
                        <w:sz w:val="18"/>
                        <w:szCs w:val="18"/>
                      </w:rPr>
                      <w:t>期末余额</w:t>
                    </w:r>
                  </w:p>
                </w:tc>
              </w:sdtContent>
            </w:sdt>
            <w:sdt>
              <w:sdtPr>
                <w:rPr>
                  <w:sz w:val="18"/>
                  <w:szCs w:val="18"/>
                </w:rPr>
                <w:tag w:val="_PLD_ac57490b080449c8b91be5a872e19f79"/>
                <w:id w:val="25154854"/>
                <w:lock w:val="sdtLocked"/>
              </w:sdtPr>
              <w:sdtEndPr>
                <w:rPr>
                  <w:sz w:val="18"/>
                  <w:szCs w:val="18"/>
                </w:rPr>
              </w:sdtEndPr>
              <w:sdtContent>
                <w:tc>
                  <w:tcPr>
                    <w:tcW w:w="3517" w:type="dxa"/>
                    <w:gridSpan w:val="3"/>
                    <w:vAlign w:val="center"/>
                  </w:tcPr>
                  <w:p>
                    <w:pPr>
                      <w:pStyle w:val="7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vMerge w:val="continue"/>
                <w:vAlign w:val="center"/>
              </w:tcPr>
              <w:p>
                <w:pPr>
                  <w:pStyle w:val="76"/>
                  <w:tabs>
                    <w:tab w:val="left" w:pos="420"/>
                  </w:tabs>
                  <w:ind w:left="420" w:hanging="420"/>
                  <w:jc w:val="center"/>
                  <w:rPr>
                    <w:sz w:val="18"/>
                    <w:szCs w:val="18"/>
                  </w:rPr>
                </w:pPr>
              </w:p>
            </w:tc>
            <w:sdt>
              <w:sdtPr>
                <w:rPr>
                  <w:sz w:val="18"/>
                  <w:szCs w:val="18"/>
                </w:rPr>
                <w:tag w:val="_PLD_1d60491359e245e7bc54655c8c8c15fd"/>
                <w:id w:val="25154855"/>
                <w:lock w:val="sdtLocked"/>
              </w:sdtPr>
              <w:sdtEndPr>
                <w:rPr>
                  <w:sz w:val="18"/>
                  <w:szCs w:val="18"/>
                </w:rPr>
              </w:sdtEndPr>
              <w:sdtContent>
                <w:tc>
                  <w:tcPr>
                    <w:tcW w:w="1195" w:type="dxa"/>
                    <w:vAlign w:val="center"/>
                  </w:tcPr>
                  <w:p>
                    <w:pPr>
                      <w:pStyle w:val="76"/>
                      <w:tabs>
                        <w:tab w:val="left" w:pos="420"/>
                      </w:tabs>
                      <w:ind w:left="420" w:hanging="420"/>
                      <w:jc w:val="center"/>
                      <w:rPr>
                        <w:sz w:val="18"/>
                        <w:szCs w:val="18"/>
                      </w:rPr>
                    </w:pPr>
                    <w:r>
                      <w:rPr>
                        <w:rFonts w:hint="eastAsia"/>
                        <w:sz w:val="18"/>
                        <w:szCs w:val="18"/>
                      </w:rPr>
                      <w:t>账面余额</w:t>
                    </w:r>
                  </w:p>
                </w:tc>
              </w:sdtContent>
            </w:sdt>
            <w:sdt>
              <w:sdtPr>
                <w:rPr>
                  <w:sz w:val="18"/>
                  <w:szCs w:val="18"/>
                </w:rPr>
                <w:tag w:val="_PLD_d5d8fa5186d44c82b146ad7151830389"/>
                <w:id w:val="25154856"/>
                <w:lock w:val="sdtLocked"/>
              </w:sdtPr>
              <w:sdtEndPr>
                <w:rPr>
                  <w:sz w:val="18"/>
                  <w:szCs w:val="18"/>
                </w:rPr>
              </w:sdtEndPr>
              <w:sdtContent>
                <w:tc>
                  <w:tcPr>
                    <w:tcW w:w="1172" w:type="dxa"/>
                    <w:vAlign w:val="center"/>
                  </w:tcPr>
                  <w:p>
                    <w:pPr>
                      <w:pStyle w:val="84"/>
                      <w:jc w:val="center"/>
                      <w:rPr>
                        <w:rFonts w:ascii="宋体" w:hAnsi="宋体"/>
                        <w:kern w:val="0"/>
                        <w:sz w:val="18"/>
                        <w:szCs w:val="18"/>
                      </w:rPr>
                    </w:pPr>
                    <w:r>
                      <w:rPr>
                        <w:rFonts w:hint="eastAsia" w:ascii="宋体" w:hAnsi="宋体"/>
                        <w:kern w:val="0"/>
                        <w:sz w:val="18"/>
                        <w:szCs w:val="18"/>
                      </w:rPr>
                      <w:t>减值准备</w:t>
                    </w:r>
                  </w:p>
                </w:tc>
              </w:sdtContent>
            </w:sdt>
            <w:sdt>
              <w:sdtPr>
                <w:rPr>
                  <w:sz w:val="18"/>
                  <w:szCs w:val="18"/>
                </w:rPr>
                <w:tag w:val="_PLD_49aa1c2d25814b789479d76afb6fc844"/>
                <w:id w:val="25154857"/>
                <w:lock w:val="sdtLocked"/>
              </w:sdtPr>
              <w:sdtEndPr>
                <w:rPr>
                  <w:sz w:val="18"/>
                  <w:szCs w:val="18"/>
                </w:rPr>
              </w:sdtEndPr>
              <w:sdtContent>
                <w:tc>
                  <w:tcPr>
                    <w:tcW w:w="1162" w:type="dxa"/>
                    <w:vAlign w:val="center"/>
                  </w:tcPr>
                  <w:p>
                    <w:pPr>
                      <w:pStyle w:val="84"/>
                      <w:jc w:val="center"/>
                      <w:rPr>
                        <w:rFonts w:ascii="宋体" w:hAnsi="宋体"/>
                        <w:kern w:val="0"/>
                        <w:sz w:val="18"/>
                        <w:szCs w:val="18"/>
                      </w:rPr>
                    </w:pPr>
                    <w:r>
                      <w:rPr>
                        <w:rFonts w:hint="eastAsia" w:ascii="宋体" w:hAnsi="宋体"/>
                        <w:kern w:val="0"/>
                        <w:sz w:val="18"/>
                        <w:szCs w:val="18"/>
                      </w:rPr>
                      <w:t>账面价值</w:t>
                    </w:r>
                  </w:p>
                </w:tc>
              </w:sdtContent>
            </w:sdt>
            <w:sdt>
              <w:sdtPr>
                <w:rPr>
                  <w:sz w:val="18"/>
                  <w:szCs w:val="18"/>
                </w:rPr>
                <w:tag w:val="_PLD_4bba2db5e5a549ecafbf4e94a7af2e35"/>
                <w:id w:val="25154858"/>
                <w:lock w:val="sdtLocked"/>
              </w:sdtPr>
              <w:sdtEndPr>
                <w:rPr>
                  <w:sz w:val="18"/>
                  <w:szCs w:val="18"/>
                </w:rPr>
              </w:sdtEndPr>
              <w:sdtContent>
                <w:tc>
                  <w:tcPr>
                    <w:tcW w:w="1158" w:type="dxa"/>
                    <w:vAlign w:val="center"/>
                  </w:tcPr>
                  <w:p>
                    <w:pPr>
                      <w:pStyle w:val="76"/>
                      <w:tabs>
                        <w:tab w:val="left" w:pos="420"/>
                      </w:tabs>
                      <w:ind w:left="420" w:hanging="420"/>
                      <w:jc w:val="center"/>
                      <w:rPr>
                        <w:sz w:val="18"/>
                        <w:szCs w:val="18"/>
                      </w:rPr>
                    </w:pPr>
                    <w:r>
                      <w:rPr>
                        <w:rFonts w:hint="eastAsia"/>
                        <w:sz w:val="18"/>
                        <w:szCs w:val="18"/>
                      </w:rPr>
                      <w:t>账面余额</w:t>
                    </w:r>
                  </w:p>
                </w:tc>
              </w:sdtContent>
            </w:sdt>
            <w:sdt>
              <w:sdtPr>
                <w:rPr>
                  <w:sz w:val="18"/>
                  <w:szCs w:val="18"/>
                </w:rPr>
                <w:tag w:val="_PLD_e054d8cd1e1b4672ae08a495b587bdce"/>
                <w:id w:val="25154859"/>
                <w:lock w:val="sdtLocked"/>
              </w:sdtPr>
              <w:sdtEndPr>
                <w:rPr>
                  <w:sz w:val="18"/>
                  <w:szCs w:val="18"/>
                </w:rPr>
              </w:sdtEndPr>
              <w:sdtContent>
                <w:tc>
                  <w:tcPr>
                    <w:tcW w:w="1172" w:type="dxa"/>
                    <w:vAlign w:val="center"/>
                  </w:tcPr>
                  <w:p>
                    <w:pPr>
                      <w:pStyle w:val="84"/>
                      <w:jc w:val="center"/>
                      <w:rPr>
                        <w:rFonts w:ascii="宋体" w:hAnsi="宋体"/>
                        <w:kern w:val="0"/>
                        <w:sz w:val="18"/>
                        <w:szCs w:val="18"/>
                      </w:rPr>
                    </w:pPr>
                    <w:r>
                      <w:rPr>
                        <w:rFonts w:hint="eastAsia" w:ascii="宋体" w:hAnsi="宋体"/>
                        <w:kern w:val="0"/>
                        <w:sz w:val="18"/>
                        <w:szCs w:val="18"/>
                      </w:rPr>
                      <w:t>减值准备</w:t>
                    </w:r>
                  </w:p>
                </w:tc>
              </w:sdtContent>
            </w:sdt>
            <w:sdt>
              <w:sdtPr>
                <w:rPr>
                  <w:sz w:val="18"/>
                  <w:szCs w:val="18"/>
                </w:rPr>
                <w:tag w:val="_PLD_bd3055c2713a44fa9cbd3fd973d34c6a"/>
                <w:id w:val="25154860"/>
                <w:lock w:val="sdtLocked"/>
              </w:sdtPr>
              <w:sdtEndPr>
                <w:rPr>
                  <w:sz w:val="18"/>
                  <w:szCs w:val="18"/>
                </w:rPr>
              </w:sdtEndPr>
              <w:sdtContent>
                <w:tc>
                  <w:tcPr>
                    <w:tcW w:w="1187" w:type="dxa"/>
                    <w:vAlign w:val="center"/>
                  </w:tcPr>
                  <w:p>
                    <w:pPr>
                      <w:pStyle w:val="84"/>
                      <w:jc w:val="center"/>
                      <w:rPr>
                        <w:rFonts w:ascii="宋体" w:hAnsi="宋体"/>
                        <w:kern w:val="0"/>
                        <w:sz w:val="18"/>
                        <w:szCs w:val="18"/>
                      </w:rPr>
                    </w:pPr>
                    <w:r>
                      <w:rPr>
                        <w:rFonts w:hint="eastAsia" w:ascii="宋体" w:hAnsi="宋体"/>
                        <w:kern w:val="0"/>
                        <w:sz w:val="18"/>
                        <w:szCs w:val="18"/>
                      </w:rPr>
                      <w:t>账面价值</w:t>
                    </w:r>
                  </w:p>
                </w:tc>
              </w:sdtContent>
            </w:sdt>
          </w:tr>
          <w:sdt>
            <w:sdtPr>
              <w:rPr>
                <w:sz w:val="18"/>
                <w:szCs w:val="18"/>
              </w:rPr>
              <w:alias w:val="在建工程情况明细"/>
              <w:tag w:val="_GBC_5f073fecf2ff4f9ba33e687f80450c77"/>
              <w:id w:val="25154861"/>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tcPr>
                  <w:p>
                    <w:pPr>
                      <w:pStyle w:val="76"/>
                      <w:rPr>
                        <w:sz w:val="18"/>
                        <w:szCs w:val="18"/>
                      </w:rPr>
                    </w:pPr>
                    <w:r>
                      <w:rPr>
                        <w:sz w:val="18"/>
                        <w:szCs w:val="18"/>
                      </w:rPr>
                      <w:t>6号高炉性能恢复改造项目</w:t>
                    </w:r>
                  </w:p>
                </w:tc>
                <w:tc>
                  <w:tcPr>
                    <w:tcW w:w="1195" w:type="dxa"/>
                  </w:tcPr>
                  <w:p>
                    <w:pPr>
                      <w:pStyle w:val="76"/>
                      <w:ind w:right="105"/>
                      <w:jc w:val="right"/>
                      <w:rPr>
                        <w:rFonts w:ascii="Arial Narrow" w:hAnsi="Arial Narrow"/>
                        <w:sz w:val="18"/>
                        <w:szCs w:val="18"/>
                      </w:rPr>
                    </w:pPr>
                    <w:r>
                      <w:rPr>
                        <w:rFonts w:ascii="Arial Narrow" w:hAnsi="Arial Narrow"/>
                        <w:sz w:val="18"/>
                        <w:szCs w:val="18"/>
                      </w:rPr>
                      <w:t>27,437,683.53</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27,437,683.53</w:t>
                    </w:r>
                  </w:p>
                </w:tc>
                <w:tc>
                  <w:tcPr>
                    <w:tcW w:w="1158" w:type="dxa"/>
                  </w:tcPr>
                  <w:p>
                    <w:pPr>
                      <w:pStyle w:val="76"/>
                      <w:jc w:val="right"/>
                      <w:rPr>
                        <w:rFonts w:ascii="Arial Narrow" w:hAnsi="Arial Narrow"/>
                        <w:sz w:val="18"/>
                        <w:szCs w:val="18"/>
                      </w:rPr>
                    </w:pPr>
                    <w:r>
                      <w:rPr>
                        <w:rFonts w:ascii="Arial Narrow" w:hAnsi="Arial Narrow"/>
                        <w:sz w:val="18"/>
                        <w:szCs w:val="18"/>
                      </w:rPr>
                      <w:t>26,458,337.61</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26,458,337.61</w:t>
                    </w:r>
                  </w:p>
                </w:tc>
              </w:tr>
            </w:sdtContent>
          </w:sdt>
          <w:sdt>
            <w:sdtPr>
              <w:rPr>
                <w:sz w:val="18"/>
                <w:szCs w:val="18"/>
              </w:rPr>
              <w:alias w:val="在建工程情况明细"/>
              <w:tag w:val="_GBC_5f073fecf2ff4f9ba33e687f80450c77"/>
              <w:id w:val="25154862"/>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tcPr>
                  <w:p>
                    <w:pPr>
                      <w:pStyle w:val="76"/>
                      <w:rPr>
                        <w:sz w:val="18"/>
                        <w:szCs w:val="18"/>
                      </w:rPr>
                    </w:pPr>
                    <w:r>
                      <w:rPr>
                        <w:sz w:val="18"/>
                        <w:szCs w:val="18"/>
                      </w:rPr>
                      <w:t>2#360m2烧结机节能减排提效技术改造</w:t>
                    </w:r>
                  </w:p>
                </w:tc>
                <w:tc>
                  <w:tcPr>
                    <w:tcW w:w="1195" w:type="dxa"/>
                  </w:tcPr>
                  <w:p>
                    <w:pPr>
                      <w:pStyle w:val="76"/>
                      <w:ind w:right="105"/>
                      <w:jc w:val="right"/>
                      <w:rPr>
                        <w:rFonts w:ascii="Arial Narrow" w:hAnsi="Arial Narrow"/>
                        <w:sz w:val="18"/>
                        <w:szCs w:val="18"/>
                      </w:rPr>
                    </w:pPr>
                    <w:r>
                      <w:rPr>
                        <w:rFonts w:ascii="Arial Narrow" w:hAnsi="Arial Narrow"/>
                        <w:sz w:val="18"/>
                        <w:szCs w:val="18"/>
                      </w:rPr>
                      <w:t>37,210,399.92</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37,210,399.92</w:t>
                    </w:r>
                  </w:p>
                </w:tc>
                <w:tc>
                  <w:tcPr>
                    <w:tcW w:w="1158" w:type="dxa"/>
                  </w:tcPr>
                  <w:p>
                    <w:pPr>
                      <w:pStyle w:val="76"/>
                      <w:jc w:val="right"/>
                      <w:rPr>
                        <w:rFonts w:ascii="Arial Narrow" w:hAnsi="Arial Narrow"/>
                        <w:sz w:val="18"/>
                        <w:szCs w:val="18"/>
                      </w:rPr>
                    </w:pPr>
                    <w:r>
                      <w:rPr>
                        <w:rFonts w:ascii="Arial Narrow" w:hAnsi="Arial Narrow"/>
                        <w:sz w:val="18"/>
                        <w:szCs w:val="18"/>
                      </w:rPr>
                      <w:t>36,099,887.69</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36,099,887.69</w:t>
                    </w:r>
                  </w:p>
                </w:tc>
              </w:tr>
            </w:sdtContent>
          </w:sdt>
          <w:sdt>
            <w:sdtPr>
              <w:rPr>
                <w:sz w:val="18"/>
                <w:szCs w:val="18"/>
              </w:rPr>
              <w:alias w:val="在建工程情况明细"/>
              <w:tag w:val="_GBC_5f073fecf2ff4f9ba33e687f80450c77"/>
              <w:id w:val="25154863"/>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tcPr>
                  <w:p>
                    <w:pPr>
                      <w:pStyle w:val="76"/>
                      <w:rPr>
                        <w:sz w:val="18"/>
                        <w:szCs w:val="18"/>
                      </w:rPr>
                    </w:pPr>
                    <w:r>
                      <w:rPr>
                        <w:sz w:val="18"/>
                        <w:szCs w:val="18"/>
                      </w:rPr>
                      <w:t>辅材物流水渣输送系统工程</w:t>
                    </w:r>
                  </w:p>
                </w:tc>
                <w:tc>
                  <w:tcPr>
                    <w:tcW w:w="1195" w:type="dxa"/>
                  </w:tcPr>
                  <w:p>
                    <w:pPr>
                      <w:pStyle w:val="76"/>
                      <w:ind w:right="105"/>
                      <w:jc w:val="right"/>
                      <w:rPr>
                        <w:rFonts w:ascii="Arial Narrow" w:hAnsi="Arial Narrow"/>
                        <w:sz w:val="18"/>
                        <w:szCs w:val="18"/>
                      </w:rPr>
                    </w:pPr>
                    <w:r>
                      <w:rPr>
                        <w:rFonts w:ascii="Arial Narrow" w:hAnsi="Arial Narrow"/>
                        <w:sz w:val="18"/>
                        <w:szCs w:val="18"/>
                      </w:rPr>
                      <w:t>64,619,984.96</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64,619,984.96</w:t>
                    </w:r>
                  </w:p>
                </w:tc>
                <w:tc>
                  <w:tcPr>
                    <w:tcW w:w="1158" w:type="dxa"/>
                  </w:tcPr>
                  <w:p>
                    <w:pPr>
                      <w:pStyle w:val="76"/>
                      <w:jc w:val="right"/>
                      <w:rPr>
                        <w:rFonts w:ascii="Arial Narrow" w:hAnsi="Arial Narrow"/>
                        <w:sz w:val="18"/>
                        <w:szCs w:val="18"/>
                      </w:rPr>
                    </w:pPr>
                    <w:r>
                      <w:rPr>
                        <w:rFonts w:ascii="Arial Narrow" w:hAnsi="Arial Narrow"/>
                        <w:sz w:val="18"/>
                        <w:szCs w:val="18"/>
                      </w:rPr>
                      <w:t>49,219,878.81</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49,219,878.81</w:t>
                    </w:r>
                  </w:p>
                </w:tc>
              </w:tr>
            </w:sdtContent>
          </w:sdt>
          <w:sdt>
            <w:sdtPr>
              <w:rPr>
                <w:sz w:val="18"/>
                <w:szCs w:val="18"/>
              </w:rPr>
              <w:alias w:val="在建工程情况明细"/>
              <w:tag w:val="_GBC_5f073fecf2ff4f9ba33e687f80450c77"/>
              <w:id w:val="25154864"/>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tcPr>
                  <w:p>
                    <w:pPr>
                      <w:pStyle w:val="76"/>
                      <w:rPr>
                        <w:sz w:val="18"/>
                        <w:szCs w:val="18"/>
                      </w:rPr>
                    </w:pPr>
                    <w:r>
                      <w:rPr>
                        <w:sz w:val="18"/>
                        <w:szCs w:val="18"/>
                      </w:rPr>
                      <w:t>矿石物流站工程</w:t>
                    </w:r>
                  </w:p>
                </w:tc>
                <w:tc>
                  <w:tcPr>
                    <w:tcW w:w="1195" w:type="dxa"/>
                  </w:tcPr>
                  <w:p>
                    <w:pPr>
                      <w:pStyle w:val="76"/>
                      <w:ind w:right="105"/>
                      <w:jc w:val="right"/>
                      <w:rPr>
                        <w:rFonts w:ascii="Arial Narrow" w:hAnsi="Arial Narrow"/>
                        <w:sz w:val="18"/>
                        <w:szCs w:val="18"/>
                      </w:rPr>
                    </w:pPr>
                    <w:r>
                      <w:rPr>
                        <w:rFonts w:ascii="Arial Narrow" w:hAnsi="Arial Narrow"/>
                        <w:sz w:val="18"/>
                        <w:szCs w:val="18"/>
                      </w:rPr>
                      <w:t>93,365,641.03</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93,365,641.03</w:t>
                    </w:r>
                  </w:p>
                </w:tc>
                <w:tc>
                  <w:tcPr>
                    <w:tcW w:w="1158" w:type="dxa"/>
                  </w:tcPr>
                  <w:p>
                    <w:pPr>
                      <w:pStyle w:val="76"/>
                      <w:jc w:val="right"/>
                      <w:rPr>
                        <w:rFonts w:ascii="Arial Narrow" w:hAnsi="Arial Narrow"/>
                        <w:sz w:val="18"/>
                        <w:szCs w:val="18"/>
                      </w:rPr>
                    </w:pPr>
                    <w:r>
                      <w:rPr>
                        <w:rFonts w:ascii="Arial Narrow" w:hAnsi="Arial Narrow"/>
                        <w:sz w:val="18"/>
                        <w:szCs w:val="18"/>
                      </w:rPr>
                      <w:t>88,989,982.74</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88,989,982.74</w:t>
                    </w:r>
                  </w:p>
                </w:tc>
              </w:tr>
            </w:sdtContent>
          </w:sdt>
          <w:sdt>
            <w:sdtPr>
              <w:rPr>
                <w:sz w:val="18"/>
                <w:szCs w:val="18"/>
              </w:rPr>
              <w:alias w:val="在建工程情况明细"/>
              <w:tag w:val="_GBC_5f073fecf2ff4f9ba33e687f80450c77"/>
              <w:id w:val="25154865"/>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44" w:type="dxa"/>
                  </w:tcPr>
                  <w:p>
                    <w:pPr>
                      <w:pStyle w:val="76"/>
                      <w:rPr>
                        <w:sz w:val="18"/>
                        <w:szCs w:val="18"/>
                      </w:rPr>
                    </w:pPr>
                    <w:r>
                      <w:rPr>
                        <w:sz w:val="18"/>
                        <w:szCs w:val="18"/>
                      </w:rPr>
                      <w:t>其他</w:t>
                    </w:r>
                  </w:p>
                </w:tc>
                <w:tc>
                  <w:tcPr>
                    <w:tcW w:w="1195" w:type="dxa"/>
                  </w:tcPr>
                  <w:p>
                    <w:pPr>
                      <w:pStyle w:val="76"/>
                      <w:ind w:right="105"/>
                      <w:jc w:val="right"/>
                      <w:rPr>
                        <w:rFonts w:ascii="Arial Narrow" w:hAnsi="Arial Narrow"/>
                        <w:sz w:val="18"/>
                        <w:szCs w:val="18"/>
                      </w:rPr>
                    </w:pPr>
                    <w:r>
                      <w:rPr>
                        <w:rFonts w:ascii="Arial Narrow" w:hAnsi="Arial Narrow"/>
                        <w:sz w:val="18"/>
                        <w:szCs w:val="18"/>
                      </w:rPr>
                      <w:t>294,639,113.15</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294,639,113.15</w:t>
                    </w:r>
                  </w:p>
                </w:tc>
                <w:tc>
                  <w:tcPr>
                    <w:tcW w:w="1158" w:type="dxa"/>
                  </w:tcPr>
                  <w:p>
                    <w:pPr>
                      <w:pStyle w:val="76"/>
                      <w:jc w:val="right"/>
                      <w:rPr>
                        <w:rFonts w:ascii="Arial Narrow" w:hAnsi="Arial Narrow"/>
                        <w:sz w:val="18"/>
                        <w:szCs w:val="18"/>
                      </w:rPr>
                    </w:pPr>
                    <w:r>
                      <w:rPr>
                        <w:rFonts w:ascii="Arial Narrow" w:hAnsi="Arial Narrow"/>
                        <w:sz w:val="18"/>
                        <w:szCs w:val="18"/>
                      </w:rPr>
                      <w:t>182,105,249.49</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182,105,249.49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fb8a9351bc5144ab907a84376899a536"/>
                <w:id w:val="25154866"/>
                <w:lock w:val="sdtLocked"/>
              </w:sdtPr>
              <w:sdtEndPr>
                <w:rPr>
                  <w:sz w:val="18"/>
                  <w:szCs w:val="18"/>
                </w:rPr>
              </w:sdtEndPr>
              <w:sdtContent>
                <w:tc>
                  <w:tcPr>
                    <w:tcW w:w="2244" w:type="dxa"/>
                    <w:vAlign w:val="center"/>
                  </w:tcPr>
                  <w:p>
                    <w:pPr>
                      <w:pStyle w:val="76"/>
                      <w:jc w:val="center"/>
                      <w:rPr>
                        <w:sz w:val="18"/>
                        <w:szCs w:val="18"/>
                      </w:rPr>
                    </w:pPr>
                    <w:r>
                      <w:rPr>
                        <w:rFonts w:hint="eastAsia"/>
                        <w:sz w:val="18"/>
                        <w:szCs w:val="18"/>
                      </w:rPr>
                      <w:t>合计</w:t>
                    </w:r>
                  </w:p>
                </w:tc>
              </w:sdtContent>
            </w:sdt>
            <w:tc>
              <w:tcPr>
                <w:tcW w:w="1195" w:type="dxa"/>
              </w:tcPr>
              <w:p>
                <w:pPr>
                  <w:pStyle w:val="76"/>
                  <w:ind w:right="105"/>
                  <w:jc w:val="right"/>
                  <w:rPr>
                    <w:rFonts w:ascii="Arial Narrow" w:hAnsi="Arial Narrow"/>
                    <w:sz w:val="18"/>
                    <w:szCs w:val="18"/>
                  </w:rPr>
                </w:pPr>
                <w:r>
                  <w:rPr>
                    <w:rFonts w:ascii="Arial Narrow" w:hAnsi="Arial Narrow"/>
                    <w:sz w:val="18"/>
                    <w:szCs w:val="18"/>
                  </w:rPr>
                  <w:t>517,272,822.59</w:t>
                </w:r>
              </w:p>
            </w:tc>
            <w:tc>
              <w:tcPr>
                <w:tcW w:w="1172" w:type="dxa"/>
              </w:tcPr>
              <w:p>
                <w:pPr>
                  <w:pStyle w:val="76"/>
                  <w:ind w:right="73"/>
                  <w:jc w:val="right"/>
                  <w:rPr>
                    <w:rFonts w:ascii="Arial Narrow" w:hAnsi="Arial Narrow"/>
                    <w:sz w:val="18"/>
                    <w:szCs w:val="18"/>
                  </w:rPr>
                </w:pPr>
              </w:p>
            </w:tc>
            <w:tc>
              <w:tcPr>
                <w:tcW w:w="1162" w:type="dxa"/>
              </w:tcPr>
              <w:p>
                <w:pPr>
                  <w:pStyle w:val="76"/>
                  <w:ind w:right="73"/>
                  <w:jc w:val="right"/>
                  <w:rPr>
                    <w:rFonts w:ascii="Arial Narrow" w:hAnsi="Arial Narrow"/>
                    <w:sz w:val="18"/>
                    <w:szCs w:val="18"/>
                  </w:rPr>
                </w:pPr>
                <w:r>
                  <w:rPr>
                    <w:rFonts w:ascii="Arial Narrow" w:hAnsi="Arial Narrow"/>
                    <w:sz w:val="18"/>
                    <w:szCs w:val="18"/>
                  </w:rPr>
                  <w:t>517,272,822.59</w:t>
                </w:r>
              </w:p>
            </w:tc>
            <w:tc>
              <w:tcPr>
                <w:tcW w:w="1158" w:type="dxa"/>
              </w:tcPr>
              <w:p>
                <w:pPr>
                  <w:pStyle w:val="76"/>
                  <w:jc w:val="right"/>
                  <w:rPr>
                    <w:rFonts w:ascii="Arial Narrow" w:hAnsi="Arial Narrow"/>
                    <w:sz w:val="18"/>
                    <w:szCs w:val="18"/>
                  </w:rPr>
                </w:pPr>
                <w:r>
                  <w:rPr>
                    <w:rFonts w:ascii="Arial Narrow" w:hAnsi="Arial Narrow"/>
                    <w:sz w:val="18"/>
                    <w:szCs w:val="18"/>
                  </w:rPr>
                  <w:t>382,873,336.34</w:t>
                </w:r>
              </w:p>
            </w:tc>
            <w:tc>
              <w:tcPr>
                <w:tcW w:w="1172" w:type="dxa"/>
              </w:tcPr>
              <w:p>
                <w:pPr>
                  <w:pStyle w:val="76"/>
                  <w:jc w:val="right"/>
                  <w:rPr>
                    <w:rFonts w:ascii="Arial Narrow" w:hAnsi="Arial Narrow"/>
                    <w:sz w:val="18"/>
                    <w:szCs w:val="18"/>
                  </w:rPr>
                </w:pPr>
              </w:p>
            </w:tc>
            <w:tc>
              <w:tcPr>
                <w:tcW w:w="1187" w:type="dxa"/>
              </w:tcPr>
              <w:p>
                <w:pPr>
                  <w:pStyle w:val="76"/>
                  <w:jc w:val="right"/>
                  <w:rPr>
                    <w:rFonts w:ascii="Arial Narrow" w:hAnsi="Arial Narrow"/>
                    <w:sz w:val="18"/>
                    <w:szCs w:val="18"/>
                  </w:rPr>
                </w:pPr>
                <w:r>
                  <w:rPr>
                    <w:rFonts w:ascii="Arial Narrow" w:hAnsi="Arial Narrow"/>
                    <w:sz w:val="18"/>
                    <w:szCs w:val="18"/>
                  </w:rPr>
                  <w:t>382,873,336.34</w:t>
                </w:r>
              </w:p>
            </w:tc>
          </w:tr>
        </w:tbl>
        <w:p>
          <w:pPr>
            <w:pStyle w:val="76"/>
          </w:pPr>
        </w:p>
      </w:sdtContent>
    </w:sdt>
    <w:p>
      <w:pPr>
        <w:pStyle w:val="76"/>
        <w:snapToGrid w:val="0"/>
        <w:spacing w:line="240" w:lineRule="atLeast"/>
        <w:ind w:right="-874" w:rightChars="-416"/>
        <w:rPr>
          <w:szCs w:val="21"/>
        </w:rPr>
      </w:pPr>
    </w:p>
    <w:sdt>
      <w:sdtPr>
        <w:rPr>
          <w:rFonts w:hint="eastAsia" w:ascii="宋体" w:hAnsi="宋体" w:cs="宋体"/>
          <w:b w:val="0"/>
          <w:bCs w:val="0"/>
          <w:kern w:val="0"/>
          <w:szCs w:val="21"/>
        </w:rPr>
        <w:alias w:val="模块:重大在建工程项目变动情况"/>
        <w:tag w:val="_GBC_b1eb75f465d7494995f17407201cfca9"/>
        <w:id w:val="25154890"/>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0"/>
              <w:numId w:val="58"/>
            </w:numPr>
            <w:tabs>
              <w:tab w:val="left" w:pos="588"/>
            </w:tabs>
            <w:rPr>
              <w:rFonts w:ascii="宋体" w:hAnsi="宋体"/>
              <w:szCs w:val="21"/>
            </w:rPr>
          </w:pPr>
          <w:r>
            <w:rPr>
              <w:rFonts w:hint="eastAsia" w:ascii="宋体" w:hAnsi="宋体"/>
              <w:szCs w:val="21"/>
            </w:rPr>
            <w:t>重要在建工程项目本期变动情况</w:t>
          </w:r>
        </w:p>
        <w:sdt>
          <w:sdtPr>
            <w:alias w:val="是否适用：重要在建工程项目本期变动情况[双击切换]"/>
            <w:tag w:val="_GBC_ec2dd768673145d4bb9d3c31a6fa701a"/>
            <w:id w:val="251548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在建工程项目变动情况"/>
              <w:tag w:val="_GBC_29f36690ce0d4e8bbec5f76711e80456"/>
              <w:id w:val="251548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251548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10774" w:type="dxa"/>
            <w:tblInd w:w="-1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710"/>
            <w:gridCol w:w="1127"/>
            <w:gridCol w:w="993"/>
            <w:gridCol w:w="991"/>
            <w:gridCol w:w="567"/>
            <w:gridCol w:w="567"/>
            <w:gridCol w:w="991"/>
            <w:gridCol w:w="567"/>
            <w:gridCol w:w="437"/>
            <w:gridCol w:w="985"/>
            <w:gridCol w:w="567"/>
            <w:gridCol w:w="707"/>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Theme="minorEastAsia" w:hAnsiTheme="minorEastAsia"/>
                  <w:sz w:val="15"/>
                  <w:szCs w:val="15"/>
                </w:rPr>
                <w:tag w:val="_PLD_911d5911af294d4f9d2b6b16b5f6c08b"/>
                <w:id w:val="25154871"/>
                <w:lock w:val="sdtLocked"/>
              </w:sdtPr>
              <w:sdtEndPr>
                <w:rPr>
                  <w:rFonts w:asciiTheme="minorEastAsia" w:hAnsiTheme="minorEastAsia"/>
                  <w:sz w:val="15"/>
                  <w:szCs w:val="15"/>
                </w:rPr>
              </w:sdtEndPr>
              <w:sdtContent>
                <w:tc>
                  <w:tcPr>
                    <w:tcW w:w="1710" w:type="dxa"/>
                    <w:shd w:val="clear" w:color="auto" w:fill="auto"/>
                    <w:vAlign w:val="center"/>
                  </w:tcPr>
                  <w:p>
                    <w:pPr>
                      <w:pStyle w:val="76"/>
                      <w:ind w:right="105"/>
                      <w:jc w:val="center"/>
                      <w:rPr>
                        <w:rFonts w:asciiTheme="minorEastAsia" w:hAnsiTheme="minorEastAsia"/>
                        <w:sz w:val="15"/>
                        <w:szCs w:val="15"/>
                      </w:rPr>
                    </w:pPr>
                    <w:r>
                      <w:rPr>
                        <w:rFonts w:hint="eastAsia" w:asciiTheme="minorEastAsia" w:hAnsiTheme="minorEastAsia"/>
                        <w:sz w:val="15"/>
                        <w:szCs w:val="15"/>
                      </w:rPr>
                      <w:t>项目名称</w:t>
                    </w:r>
                  </w:p>
                </w:tc>
              </w:sdtContent>
            </w:sdt>
            <w:sdt>
              <w:sdtPr>
                <w:rPr>
                  <w:rFonts w:asciiTheme="minorEastAsia" w:hAnsiTheme="minorEastAsia"/>
                  <w:sz w:val="15"/>
                  <w:szCs w:val="15"/>
                </w:rPr>
                <w:tag w:val="_PLD_667404be40294d63b853abf58a9d185f"/>
                <w:id w:val="25154872"/>
                <w:lock w:val="sdtLocked"/>
              </w:sdtPr>
              <w:sdtEndPr>
                <w:rPr>
                  <w:rFonts w:asciiTheme="minorEastAsia" w:hAnsiTheme="minorEastAsia"/>
                  <w:sz w:val="15"/>
                  <w:szCs w:val="15"/>
                </w:rPr>
              </w:sdtEndPr>
              <w:sdtContent>
                <w:tc>
                  <w:tcPr>
                    <w:tcW w:w="1127" w:type="dxa"/>
                    <w:shd w:val="clear" w:color="auto" w:fill="auto"/>
                    <w:vAlign w:val="center"/>
                  </w:tcPr>
                  <w:p>
                    <w:pPr>
                      <w:pStyle w:val="76"/>
                      <w:ind w:right="105"/>
                      <w:jc w:val="center"/>
                      <w:rPr>
                        <w:rFonts w:asciiTheme="minorEastAsia" w:hAnsiTheme="minorEastAsia"/>
                        <w:sz w:val="15"/>
                        <w:szCs w:val="15"/>
                      </w:rPr>
                    </w:pPr>
                    <w:r>
                      <w:rPr>
                        <w:rFonts w:hint="eastAsia" w:asciiTheme="minorEastAsia" w:hAnsiTheme="minorEastAsia"/>
                        <w:sz w:val="15"/>
                        <w:szCs w:val="15"/>
                      </w:rPr>
                      <w:t>预算数</w:t>
                    </w:r>
                  </w:p>
                </w:tc>
              </w:sdtContent>
            </w:sdt>
            <w:sdt>
              <w:sdtPr>
                <w:rPr>
                  <w:rFonts w:asciiTheme="minorEastAsia" w:hAnsiTheme="minorEastAsia"/>
                  <w:sz w:val="15"/>
                  <w:szCs w:val="15"/>
                </w:rPr>
                <w:tag w:val="_PLD_25c75ebdcb434964b5f5e8b512151b0b"/>
                <w:id w:val="25154873"/>
                <w:lock w:val="sdtLocked"/>
              </w:sdtPr>
              <w:sdtEndPr>
                <w:rPr>
                  <w:rFonts w:asciiTheme="minorEastAsia" w:hAnsiTheme="minorEastAsia"/>
                  <w:sz w:val="15"/>
                  <w:szCs w:val="15"/>
                </w:rPr>
              </w:sdtEndPr>
              <w:sdtContent>
                <w:tc>
                  <w:tcPr>
                    <w:tcW w:w="993" w:type="dxa"/>
                    <w:shd w:val="clear" w:color="auto" w:fill="auto"/>
                    <w:vAlign w:val="center"/>
                  </w:tcPr>
                  <w:p>
                    <w:pPr>
                      <w:pStyle w:val="76"/>
                      <w:ind w:right="105"/>
                      <w:jc w:val="center"/>
                      <w:rPr>
                        <w:rFonts w:asciiTheme="minorEastAsia" w:hAnsiTheme="minorEastAsia"/>
                        <w:sz w:val="15"/>
                        <w:szCs w:val="15"/>
                      </w:rPr>
                    </w:pPr>
                    <w:r>
                      <w:rPr>
                        <w:rFonts w:hint="eastAsia" w:asciiTheme="minorEastAsia" w:hAnsiTheme="minorEastAsia"/>
                        <w:sz w:val="15"/>
                        <w:szCs w:val="15"/>
                      </w:rPr>
                      <w:t>期初</w:t>
                    </w:r>
                  </w:p>
                  <w:p>
                    <w:pPr>
                      <w:pStyle w:val="76"/>
                      <w:ind w:right="105"/>
                      <w:jc w:val="center"/>
                      <w:rPr>
                        <w:rFonts w:asciiTheme="minorEastAsia" w:hAnsiTheme="minorEastAsia"/>
                        <w:sz w:val="15"/>
                        <w:szCs w:val="15"/>
                      </w:rPr>
                    </w:pPr>
                    <w:r>
                      <w:rPr>
                        <w:rFonts w:hint="eastAsia" w:asciiTheme="minorEastAsia" w:hAnsiTheme="minorEastAsia"/>
                        <w:sz w:val="15"/>
                        <w:szCs w:val="15"/>
                      </w:rPr>
                      <w:t>余额</w:t>
                    </w:r>
                  </w:p>
                </w:tc>
              </w:sdtContent>
            </w:sdt>
            <w:sdt>
              <w:sdtPr>
                <w:rPr>
                  <w:rFonts w:asciiTheme="minorEastAsia" w:hAnsiTheme="minorEastAsia"/>
                  <w:sz w:val="15"/>
                  <w:szCs w:val="15"/>
                </w:rPr>
                <w:tag w:val="_PLD_0117182ae7e24536a0996423ddcfa5f0"/>
                <w:id w:val="25154874"/>
                <w:lock w:val="sdtLocked"/>
              </w:sdtPr>
              <w:sdtEndPr>
                <w:rPr>
                  <w:rFonts w:asciiTheme="minorEastAsia" w:hAnsiTheme="minorEastAsia"/>
                  <w:sz w:val="15"/>
                  <w:szCs w:val="15"/>
                </w:rPr>
              </w:sdtEndPr>
              <w:sdtContent>
                <w:tc>
                  <w:tcPr>
                    <w:tcW w:w="991" w:type="dxa"/>
                    <w:shd w:val="clear" w:color="auto" w:fill="auto"/>
                    <w:vAlign w:val="center"/>
                  </w:tcPr>
                  <w:p>
                    <w:pPr>
                      <w:pStyle w:val="76"/>
                      <w:ind w:right="105"/>
                      <w:jc w:val="center"/>
                      <w:rPr>
                        <w:rFonts w:asciiTheme="minorEastAsia" w:hAnsiTheme="minorEastAsia"/>
                        <w:sz w:val="15"/>
                        <w:szCs w:val="15"/>
                      </w:rPr>
                    </w:pPr>
                    <w:r>
                      <w:rPr>
                        <w:rFonts w:hint="eastAsia" w:asciiTheme="minorEastAsia" w:hAnsiTheme="minorEastAsia"/>
                        <w:sz w:val="15"/>
                        <w:szCs w:val="15"/>
                      </w:rPr>
                      <w:t>本期增加金额</w:t>
                    </w:r>
                  </w:p>
                </w:tc>
              </w:sdtContent>
            </w:sdt>
            <w:sdt>
              <w:sdtPr>
                <w:rPr>
                  <w:rFonts w:asciiTheme="minorEastAsia" w:hAnsiTheme="minorEastAsia"/>
                  <w:sz w:val="15"/>
                  <w:szCs w:val="15"/>
                </w:rPr>
                <w:tag w:val="_PLD_6db4feaec90f4eeeb4ed5fb04d298657"/>
                <w:id w:val="25154875"/>
                <w:lock w:val="sdtLocked"/>
              </w:sdtPr>
              <w:sdtEndPr>
                <w:rPr>
                  <w:rFonts w:asciiTheme="minorEastAsia" w:hAnsiTheme="minorEastAsia"/>
                  <w:sz w:val="15"/>
                  <w:szCs w:val="15"/>
                </w:rPr>
              </w:sdtEndPr>
              <w:sdtContent>
                <w:tc>
                  <w:tcPr>
                    <w:tcW w:w="567" w:type="dxa"/>
                    <w:shd w:val="clear" w:color="auto" w:fill="auto"/>
                    <w:vAlign w:val="center"/>
                  </w:tcPr>
                  <w:p>
                    <w:pPr>
                      <w:pStyle w:val="76"/>
                      <w:ind w:right="73"/>
                      <w:jc w:val="center"/>
                      <w:rPr>
                        <w:rFonts w:asciiTheme="minorEastAsia" w:hAnsiTheme="minorEastAsia"/>
                        <w:sz w:val="15"/>
                        <w:szCs w:val="15"/>
                      </w:rPr>
                    </w:pPr>
                    <w:r>
                      <w:rPr>
                        <w:rFonts w:hint="eastAsia" w:asciiTheme="minorEastAsia" w:hAnsiTheme="minorEastAsia"/>
                        <w:sz w:val="15"/>
                        <w:szCs w:val="15"/>
                      </w:rPr>
                      <w:t>本期转入固定资产金额</w:t>
                    </w:r>
                  </w:p>
                </w:tc>
              </w:sdtContent>
            </w:sdt>
            <w:sdt>
              <w:sdtPr>
                <w:rPr>
                  <w:rFonts w:asciiTheme="minorEastAsia" w:hAnsiTheme="minorEastAsia"/>
                  <w:sz w:val="15"/>
                  <w:szCs w:val="15"/>
                </w:rPr>
                <w:tag w:val="_PLD_1fe85c3ed6f84f6f85209149a9931055"/>
                <w:id w:val="25154876"/>
                <w:lock w:val="sdtLocked"/>
              </w:sdtPr>
              <w:sdtEndPr>
                <w:rPr>
                  <w:rFonts w:asciiTheme="minorEastAsia" w:hAnsiTheme="minorEastAsia"/>
                  <w:sz w:val="15"/>
                  <w:szCs w:val="15"/>
                </w:rPr>
              </w:sdtEndPr>
              <w:sdtContent>
                <w:tc>
                  <w:tcPr>
                    <w:tcW w:w="567" w:type="dxa"/>
                    <w:shd w:val="clear" w:color="auto" w:fill="auto"/>
                    <w:vAlign w:val="center"/>
                  </w:tcPr>
                  <w:p>
                    <w:pPr>
                      <w:pStyle w:val="76"/>
                      <w:ind w:right="73"/>
                      <w:jc w:val="center"/>
                      <w:rPr>
                        <w:rFonts w:asciiTheme="minorEastAsia" w:hAnsiTheme="minorEastAsia"/>
                        <w:sz w:val="15"/>
                        <w:szCs w:val="15"/>
                      </w:rPr>
                    </w:pPr>
                    <w:r>
                      <w:rPr>
                        <w:rFonts w:hint="eastAsia" w:asciiTheme="minorEastAsia" w:hAnsiTheme="minorEastAsia"/>
                        <w:sz w:val="15"/>
                        <w:szCs w:val="15"/>
                      </w:rPr>
                      <w:t>本期其他减少金额</w:t>
                    </w:r>
                  </w:p>
                </w:tc>
              </w:sdtContent>
            </w:sdt>
            <w:sdt>
              <w:sdtPr>
                <w:rPr>
                  <w:rFonts w:asciiTheme="minorEastAsia" w:hAnsiTheme="minorEastAsia"/>
                  <w:sz w:val="15"/>
                  <w:szCs w:val="15"/>
                </w:rPr>
                <w:tag w:val="_PLD_7954fe4b89f644d29865af249dfe8c3f"/>
                <w:id w:val="25154877"/>
                <w:lock w:val="sdtLocked"/>
              </w:sdtPr>
              <w:sdtEndPr>
                <w:rPr>
                  <w:rFonts w:asciiTheme="minorEastAsia" w:hAnsiTheme="minorEastAsia"/>
                  <w:sz w:val="15"/>
                  <w:szCs w:val="15"/>
                </w:rPr>
              </w:sdtEndPr>
              <w:sdtContent>
                <w:tc>
                  <w:tcPr>
                    <w:tcW w:w="991" w:type="dxa"/>
                    <w:vAlign w:val="center"/>
                  </w:tcPr>
                  <w:p>
                    <w:pPr>
                      <w:pStyle w:val="76"/>
                      <w:jc w:val="center"/>
                      <w:rPr>
                        <w:rFonts w:asciiTheme="minorEastAsia" w:hAnsiTheme="minorEastAsia"/>
                        <w:sz w:val="15"/>
                        <w:szCs w:val="15"/>
                      </w:rPr>
                    </w:pPr>
                    <w:r>
                      <w:rPr>
                        <w:rFonts w:hint="eastAsia" w:asciiTheme="minorEastAsia" w:hAnsiTheme="minorEastAsia"/>
                        <w:sz w:val="15"/>
                        <w:szCs w:val="15"/>
                      </w:rPr>
                      <w:t>期末</w:t>
                    </w:r>
                  </w:p>
                  <w:p>
                    <w:pPr>
                      <w:pStyle w:val="76"/>
                      <w:jc w:val="center"/>
                      <w:rPr>
                        <w:rFonts w:asciiTheme="minorEastAsia" w:hAnsiTheme="minorEastAsia"/>
                        <w:sz w:val="15"/>
                        <w:szCs w:val="15"/>
                      </w:rPr>
                    </w:pPr>
                    <w:r>
                      <w:rPr>
                        <w:rFonts w:hint="eastAsia" w:asciiTheme="minorEastAsia" w:hAnsiTheme="minorEastAsia"/>
                        <w:sz w:val="15"/>
                        <w:szCs w:val="15"/>
                      </w:rPr>
                      <w:t>余额</w:t>
                    </w:r>
                  </w:p>
                </w:tc>
              </w:sdtContent>
            </w:sdt>
            <w:sdt>
              <w:sdtPr>
                <w:rPr>
                  <w:rFonts w:asciiTheme="minorEastAsia" w:hAnsiTheme="minorEastAsia"/>
                  <w:sz w:val="15"/>
                  <w:szCs w:val="15"/>
                </w:rPr>
                <w:tag w:val="_PLD_d9aa12b28eda4362b90372032218ea1a"/>
                <w:id w:val="25154878"/>
                <w:lock w:val="sdtLocked"/>
              </w:sdtPr>
              <w:sdtEndPr>
                <w:rPr>
                  <w:rFonts w:asciiTheme="minorEastAsia" w:hAnsiTheme="minorEastAsia"/>
                  <w:sz w:val="15"/>
                  <w:szCs w:val="15"/>
                </w:rPr>
              </w:sdtEndPr>
              <w:sdtContent>
                <w:tc>
                  <w:tcPr>
                    <w:tcW w:w="567"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工程累计投入占预算比例(%)</w:t>
                    </w:r>
                  </w:p>
                </w:tc>
              </w:sdtContent>
            </w:sdt>
            <w:sdt>
              <w:sdtPr>
                <w:rPr>
                  <w:rFonts w:asciiTheme="minorEastAsia" w:hAnsiTheme="minorEastAsia"/>
                  <w:sz w:val="15"/>
                  <w:szCs w:val="15"/>
                </w:rPr>
                <w:tag w:val="_PLD_9e610c25eba14177abc9b359511cb935"/>
                <w:id w:val="25154879"/>
                <w:lock w:val="sdtLocked"/>
              </w:sdtPr>
              <w:sdtEndPr>
                <w:rPr>
                  <w:rFonts w:asciiTheme="minorEastAsia" w:hAnsiTheme="minorEastAsia"/>
                  <w:sz w:val="15"/>
                  <w:szCs w:val="15"/>
                </w:rPr>
              </w:sdtEndPr>
              <w:sdtContent>
                <w:tc>
                  <w:tcPr>
                    <w:tcW w:w="437"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工程进度（%）</w:t>
                    </w:r>
                  </w:p>
                </w:tc>
              </w:sdtContent>
            </w:sdt>
            <w:sdt>
              <w:sdtPr>
                <w:rPr>
                  <w:rFonts w:asciiTheme="minorEastAsia" w:hAnsiTheme="minorEastAsia"/>
                  <w:sz w:val="15"/>
                  <w:szCs w:val="15"/>
                </w:rPr>
                <w:tag w:val="_PLD_e89a95ddf6ab4a6abe2d40f64c95699a"/>
                <w:id w:val="25154880"/>
                <w:lock w:val="sdtLocked"/>
              </w:sdtPr>
              <w:sdtEndPr>
                <w:rPr>
                  <w:rFonts w:asciiTheme="minorEastAsia" w:hAnsiTheme="minorEastAsia"/>
                  <w:sz w:val="15"/>
                  <w:szCs w:val="15"/>
                </w:rPr>
              </w:sdtEndPr>
              <w:sdtContent>
                <w:tc>
                  <w:tcPr>
                    <w:tcW w:w="985"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利息资本化累计金额</w:t>
                    </w:r>
                  </w:p>
                </w:tc>
              </w:sdtContent>
            </w:sdt>
            <w:sdt>
              <w:sdtPr>
                <w:rPr>
                  <w:rFonts w:asciiTheme="minorEastAsia" w:hAnsiTheme="minorEastAsia"/>
                  <w:sz w:val="15"/>
                  <w:szCs w:val="15"/>
                </w:rPr>
                <w:tag w:val="_PLD_211048c05b944d8f9bfd1d37edfd2f6d"/>
                <w:id w:val="25154881"/>
                <w:lock w:val="sdtLocked"/>
              </w:sdtPr>
              <w:sdtEndPr>
                <w:rPr>
                  <w:rFonts w:asciiTheme="minorEastAsia" w:hAnsiTheme="minorEastAsia"/>
                  <w:sz w:val="15"/>
                  <w:szCs w:val="15"/>
                </w:rPr>
              </w:sdtEndPr>
              <w:sdtContent>
                <w:tc>
                  <w:tcPr>
                    <w:tcW w:w="567"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其中：本期利息资本化金额</w:t>
                    </w:r>
                  </w:p>
                </w:tc>
              </w:sdtContent>
            </w:sdt>
            <w:sdt>
              <w:sdtPr>
                <w:rPr>
                  <w:rFonts w:asciiTheme="minorEastAsia" w:hAnsiTheme="minorEastAsia"/>
                  <w:sz w:val="15"/>
                  <w:szCs w:val="15"/>
                </w:rPr>
                <w:tag w:val="_PLD_2cbfddfcd5e6493ba68633d99551c05f"/>
                <w:id w:val="25154882"/>
                <w:lock w:val="sdtLocked"/>
              </w:sdtPr>
              <w:sdtEndPr>
                <w:rPr>
                  <w:rFonts w:asciiTheme="minorEastAsia" w:hAnsiTheme="minorEastAsia"/>
                  <w:sz w:val="15"/>
                  <w:szCs w:val="15"/>
                </w:rPr>
              </w:sdtEndPr>
              <w:sdtContent>
                <w:tc>
                  <w:tcPr>
                    <w:tcW w:w="707"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本期利息资本化率(%)</w:t>
                    </w:r>
                  </w:p>
                </w:tc>
              </w:sdtContent>
            </w:sdt>
            <w:sdt>
              <w:sdtPr>
                <w:rPr>
                  <w:rFonts w:asciiTheme="minorEastAsia" w:hAnsiTheme="minorEastAsia"/>
                  <w:sz w:val="15"/>
                  <w:szCs w:val="15"/>
                </w:rPr>
                <w:tag w:val="_PLD_39440674746d4382a4f99328187752a9"/>
                <w:id w:val="25154883"/>
                <w:lock w:val="sdtLocked"/>
              </w:sdtPr>
              <w:sdtEndPr>
                <w:rPr>
                  <w:rFonts w:asciiTheme="minorEastAsia" w:hAnsiTheme="minorEastAsia"/>
                  <w:sz w:val="15"/>
                  <w:szCs w:val="15"/>
                </w:rPr>
              </w:sdtEndPr>
              <w:sdtContent>
                <w:tc>
                  <w:tcPr>
                    <w:tcW w:w="565" w:type="dxa"/>
                    <w:shd w:val="clear" w:color="auto" w:fill="auto"/>
                    <w:vAlign w:val="center"/>
                  </w:tcPr>
                  <w:p>
                    <w:pPr>
                      <w:pStyle w:val="76"/>
                      <w:jc w:val="center"/>
                      <w:rPr>
                        <w:rFonts w:asciiTheme="minorEastAsia" w:hAnsiTheme="minorEastAsia"/>
                        <w:sz w:val="15"/>
                        <w:szCs w:val="15"/>
                      </w:rPr>
                    </w:pPr>
                    <w:r>
                      <w:rPr>
                        <w:rFonts w:hint="eastAsia" w:asciiTheme="minorEastAsia" w:hAnsiTheme="minorEastAsia"/>
                        <w:sz w:val="15"/>
                        <w:szCs w:val="15"/>
                      </w:rPr>
                      <w:t>资金来源</w:t>
                    </w:r>
                  </w:p>
                </w:tc>
              </w:sdtContent>
            </w:sdt>
          </w:tr>
          <w:sdt>
            <w:sdtPr>
              <w:rPr>
                <w:rFonts w:hint="eastAsia" w:asciiTheme="minorEastAsia" w:hAnsiTheme="minorEastAsia"/>
                <w:sz w:val="15"/>
                <w:szCs w:val="15"/>
              </w:rPr>
              <w:alias w:val="在建工程明细"/>
              <w:tag w:val="_GBC_b84d9018f52b45beabeca7c2371cdc18"/>
              <w:id w:val="25154884"/>
              <w:lock w:val="sdtLocked"/>
            </w:sdtPr>
            <w:sdtEndPr>
              <w:rPr>
                <w:rFonts w:hint="eastAsia" w:asciiTheme="minorEastAsia" w:hAnsi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710" w:type="dxa"/>
                    <w:shd w:val="clear" w:color="auto" w:fill="auto"/>
                  </w:tcPr>
                  <w:p>
                    <w:pPr>
                      <w:pStyle w:val="76"/>
                      <w:ind w:right="105"/>
                      <w:rPr>
                        <w:rFonts w:asciiTheme="minorEastAsia" w:hAnsiTheme="minorEastAsia"/>
                        <w:sz w:val="15"/>
                        <w:szCs w:val="15"/>
                      </w:rPr>
                    </w:pPr>
                    <w:r>
                      <w:rPr>
                        <w:sz w:val="15"/>
                        <w:szCs w:val="15"/>
                      </w:rPr>
                      <w:t>2#360m2烧结机节能减排提效技术改造</w:t>
                    </w:r>
                  </w:p>
                </w:tc>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45,000,000.00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36,099,887.69</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1,110,512.23</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37,210,399.92</w:t>
                    </w:r>
                  </w:p>
                </w:tc>
                <w:tc>
                  <w:tcPr>
                    <w:tcW w:w="56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95</w:t>
                    </w:r>
                  </w:p>
                </w:tc>
                <w:tc>
                  <w:tcPr>
                    <w:tcW w:w="43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90</w:t>
                    </w:r>
                  </w:p>
                </w:tc>
                <w:tc>
                  <w:tcPr>
                    <w:tcW w:w="985" w:type="dxa"/>
                    <w:shd w:val="clear" w:color="auto" w:fill="auto"/>
                    <w:vAlign w:val="center"/>
                  </w:tcPr>
                  <w:p>
                    <w:pPr>
                      <w:pStyle w:val="76"/>
                      <w:jc w:val="right"/>
                      <w:rPr>
                        <w:rFonts w:ascii="Arial Narrow" w:hAnsi="Arial Narrow"/>
                        <w:sz w:val="15"/>
                        <w:szCs w:val="15"/>
                      </w:rPr>
                    </w:pPr>
                    <w:r>
                      <w:rPr>
                        <w:rFonts w:ascii="Arial Narrow" w:hAnsi="Arial Narrow"/>
                        <w:sz w:val="15"/>
                        <w:szCs w:val="15"/>
                      </w:rPr>
                      <w:t>1,448,921.95</w:t>
                    </w: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jc w:val="right"/>
                      <w:rPr>
                        <w:rFonts w:ascii="Arial Narrow" w:hAnsi="Arial Narrow"/>
                        <w:sz w:val="15"/>
                        <w:szCs w:val="15"/>
                      </w:rPr>
                    </w:pPr>
                  </w:p>
                </w:tc>
                <w:tc>
                  <w:tcPr>
                    <w:tcW w:w="565" w:type="dxa"/>
                    <w:shd w:val="clear" w:color="auto" w:fill="auto"/>
                  </w:tcPr>
                  <w:p>
                    <w:pPr>
                      <w:pStyle w:val="76"/>
                      <w:jc w:val="center"/>
                      <w:rPr>
                        <w:rFonts w:asciiTheme="minorEastAsia" w:hAnsiTheme="minorEastAsia"/>
                        <w:sz w:val="15"/>
                        <w:szCs w:val="15"/>
                      </w:rPr>
                    </w:pPr>
                    <w:r>
                      <w:rPr>
                        <w:rFonts w:asciiTheme="minorEastAsia" w:hAnsiTheme="minorEastAsia"/>
                        <w:sz w:val="15"/>
                        <w:szCs w:val="15"/>
                      </w:rPr>
                      <w:t>自筹</w:t>
                    </w:r>
                  </w:p>
                </w:tc>
              </w:tr>
            </w:sdtContent>
          </w:sdt>
          <w:sdt>
            <w:sdtPr>
              <w:rPr>
                <w:rFonts w:hint="eastAsia" w:asciiTheme="minorEastAsia" w:hAnsiTheme="minorEastAsia"/>
                <w:sz w:val="15"/>
                <w:szCs w:val="15"/>
              </w:rPr>
              <w:alias w:val="在建工程明细"/>
              <w:tag w:val="_GBC_b84d9018f52b45beabeca7c2371cdc18"/>
              <w:id w:val="25154885"/>
              <w:lock w:val="sdtLocked"/>
            </w:sdtPr>
            <w:sdtEndPr>
              <w:rPr>
                <w:rFonts w:hint="eastAsia" w:asciiTheme="minorEastAsia" w:hAnsi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710" w:type="dxa"/>
                    <w:shd w:val="clear" w:color="auto" w:fill="auto"/>
                  </w:tcPr>
                  <w:p>
                    <w:pPr>
                      <w:pStyle w:val="76"/>
                      <w:ind w:right="105"/>
                      <w:rPr>
                        <w:rFonts w:asciiTheme="minorEastAsia" w:hAnsiTheme="minorEastAsia"/>
                        <w:sz w:val="15"/>
                        <w:szCs w:val="15"/>
                      </w:rPr>
                    </w:pPr>
                    <w:r>
                      <w:rPr>
                        <w:sz w:val="15"/>
                        <w:szCs w:val="15"/>
                      </w:rPr>
                      <w:t>辅材物流水渣输送系统工程</w:t>
                    </w:r>
                  </w:p>
                </w:tc>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78,000,000.00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49,219,878.81</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15,400,106.15</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64,619,984.96</w:t>
                    </w:r>
                  </w:p>
                </w:tc>
                <w:tc>
                  <w:tcPr>
                    <w:tcW w:w="567" w:type="dxa"/>
                    <w:shd w:val="clear" w:color="auto" w:fill="auto"/>
                    <w:vAlign w:val="center"/>
                  </w:tcPr>
                  <w:p>
                    <w:pPr>
                      <w:pStyle w:val="76"/>
                      <w:jc w:val="right"/>
                      <w:rPr>
                        <w:rFonts w:ascii="Arial Narrow" w:hAnsi="Arial Narrow"/>
                        <w:sz w:val="15"/>
                        <w:szCs w:val="15"/>
                      </w:rPr>
                    </w:pPr>
                    <w:r>
                      <w:rPr>
                        <w:rFonts w:ascii="Arial Narrow" w:hAnsi="Arial Narrow"/>
                        <w:sz w:val="15"/>
                        <w:szCs w:val="15"/>
                      </w:rPr>
                      <w:t>80</w:t>
                    </w:r>
                  </w:p>
                </w:tc>
                <w:tc>
                  <w:tcPr>
                    <w:tcW w:w="437" w:type="dxa"/>
                    <w:shd w:val="clear" w:color="auto" w:fill="auto"/>
                    <w:vAlign w:val="center"/>
                  </w:tcPr>
                  <w:p>
                    <w:pPr>
                      <w:pStyle w:val="76"/>
                      <w:jc w:val="right"/>
                      <w:rPr>
                        <w:rFonts w:ascii="Arial Narrow" w:hAnsi="Arial Narrow"/>
                        <w:sz w:val="15"/>
                        <w:szCs w:val="15"/>
                      </w:rPr>
                    </w:pPr>
                    <w:r>
                      <w:rPr>
                        <w:rFonts w:ascii="Arial Narrow" w:hAnsi="Arial Narrow"/>
                        <w:sz w:val="15"/>
                        <w:szCs w:val="15"/>
                      </w:rPr>
                      <w:t>80</w:t>
                    </w:r>
                  </w:p>
                </w:tc>
                <w:tc>
                  <w:tcPr>
                    <w:tcW w:w="985" w:type="dxa"/>
                    <w:shd w:val="clear" w:color="auto" w:fill="auto"/>
                    <w:vAlign w:val="center"/>
                  </w:tcPr>
                  <w:p>
                    <w:pPr>
                      <w:pStyle w:val="76"/>
                      <w:jc w:val="right"/>
                      <w:rPr>
                        <w:rFonts w:ascii="Arial Narrow" w:hAnsi="Arial Narrow"/>
                        <w:sz w:val="15"/>
                        <w:szCs w:val="15"/>
                      </w:rPr>
                    </w:pPr>
                    <w:r>
                      <w:rPr>
                        <w:rFonts w:ascii="Arial Narrow" w:hAnsi="Arial Narrow"/>
                        <w:sz w:val="15"/>
                        <w:szCs w:val="15"/>
                      </w:rPr>
                      <w:t>2,075,829.38</w:t>
                    </w: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jc w:val="right"/>
                      <w:rPr>
                        <w:rFonts w:ascii="Arial Narrow" w:hAnsi="Arial Narrow"/>
                        <w:sz w:val="15"/>
                        <w:szCs w:val="15"/>
                      </w:rPr>
                    </w:pPr>
                  </w:p>
                </w:tc>
                <w:tc>
                  <w:tcPr>
                    <w:tcW w:w="565" w:type="dxa"/>
                    <w:shd w:val="clear" w:color="auto" w:fill="auto"/>
                  </w:tcPr>
                  <w:p>
                    <w:pPr>
                      <w:pStyle w:val="76"/>
                      <w:jc w:val="center"/>
                      <w:rPr>
                        <w:rFonts w:asciiTheme="minorEastAsia" w:hAnsiTheme="minorEastAsia"/>
                        <w:sz w:val="15"/>
                        <w:szCs w:val="15"/>
                      </w:rPr>
                    </w:pPr>
                    <w:r>
                      <w:rPr>
                        <w:rFonts w:asciiTheme="minorEastAsia" w:hAnsiTheme="minorEastAsia"/>
                        <w:sz w:val="15"/>
                        <w:szCs w:val="15"/>
                      </w:rPr>
                      <w:t>自筹</w:t>
                    </w:r>
                  </w:p>
                </w:tc>
              </w:tr>
            </w:sdtContent>
          </w:sdt>
          <w:sdt>
            <w:sdtPr>
              <w:rPr>
                <w:rFonts w:hint="eastAsia" w:asciiTheme="minorEastAsia" w:hAnsiTheme="minorEastAsia"/>
                <w:sz w:val="15"/>
                <w:szCs w:val="15"/>
              </w:rPr>
              <w:alias w:val="在建工程明细"/>
              <w:tag w:val="_GBC_b84d9018f52b45beabeca7c2371cdc18"/>
              <w:id w:val="25154886"/>
              <w:lock w:val="sdtLocked"/>
            </w:sdtPr>
            <w:sdtEndPr>
              <w:rPr>
                <w:rFonts w:hint="eastAsia" w:asciiTheme="minorEastAsia" w:hAnsi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710" w:type="dxa"/>
                    <w:shd w:val="clear" w:color="auto" w:fill="auto"/>
                  </w:tcPr>
                  <w:p>
                    <w:pPr>
                      <w:pStyle w:val="76"/>
                      <w:ind w:right="105"/>
                      <w:rPr>
                        <w:rFonts w:asciiTheme="minorEastAsia" w:hAnsiTheme="minorEastAsia"/>
                        <w:sz w:val="15"/>
                        <w:szCs w:val="15"/>
                      </w:rPr>
                    </w:pPr>
                    <w:r>
                      <w:rPr>
                        <w:sz w:val="15"/>
                        <w:szCs w:val="15"/>
                      </w:rPr>
                      <w:t>矿石物流站工程</w:t>
                    </w:r>
                  </w:p>
                </w:tc>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120,000,000.00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88,989,982.74</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4,375,658.29</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93,365,641.03</w:t>
                    </w:r>
                  </w:p>
                </w:tc>
                <w:tc>
                  <w:tcPr>
                    <w:tcW w:w="56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90</w:t>
                    </w:r>
                  </w:p>
                </w:tc>
                <w:tc>
                  <w:tcPr>
                    <w:tcW w:w="43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90</w:t>
                    </w:r>
                  </w:p>
                </w:tc>
                <w:tc>
                  <w:tcPr>
                    <w:tcW w:w="985" w:type="dxa"/>
                    <w:shd w:val="clear" w:color="auto" w:fill="auto"/>
                    <w:vAlign w:val="center"/>
                  </w:tcPr>
                  <w:p>
                    <w:pPr>
                      <w:pStyle w:val="76"/>
                      <w:jc w:val="right"/>
                      <w:rPr>
                        <w:rFonts w:ascii="Arial Narrow" w:hAnsi="Arial Narrow"/>
                        <w:sz w:val="15"/>
                        <w:szCs w:val="15"/>
                      </w:rPr>
                    </w:pPr>
                    <w:r>
                      <w:rPr>
                        <w:rFonts w:ascii="Arial Narrow" w:hAnsi="Arial Narrow"/>
                        <w:sz w:val="15"/>
                        <w:szCs w:val="15"/>
                      </w:rPr>
                      <w:t>4,138,226.65</w:t>
                    </w: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jc w:val="right"/>
                      <w:rPr>
                        <w:rFonts w:ascii="Arial Narrow" w:hAnsi="Arial Narrow"/>
                        <w:sz w:val="15"/>
                        <w:szCs w:val="15"/>
                      </w:rPr>
                    </w:pPr>
                  </w:p>
                </w:tc>
                <w:tc>
                  <w:tcPr>
                    <w:tcW w:w="565" w:type="dxa"/>
                    <w:shd w:val="clear" w:color="auto" w:fill="auto"/>
                  </w:tcPr>
                  <w:p>
                    <w:pPr>
                      <w:pStyle w:val="76"/>
                      <w:jc w:val="center"/>
                      <w:rPr>
                        <w:rFonts w:asciiTheme="minorEastAsia" w:hAnsiTheme="minorEastAsia"/>
                        <w:sz w:val="15"/>
                        <w:szCs w:val="15"/>
                      </w:rPr>
                    </w:pPr>
                    <w:r>
                      <w:rPr>
                        <w:rFonts w:asciiTheme="minorEastAsia" w:hAnsiTheme="minorEastAsia"/>
                        <w:sz w:val="15"/>
                        <w:szCs w:val="15"/>
                      </w:rPr>
                      <w:t>自筹</w:t>
                    </w:r>
                  </w:p>
                </w:tc>
              </w:tr>
            </w:sdtContent>
          </w:sdt>
          <w:sdt>
            <w:sdtPr>
              <w:rPr>
                <w:rFonts w:hint="eastAsia" w:asciiTheme="minorEastAsia" w:hAnsiTheme="minorEastAsia"/>
                <w:sz w:val="15"/>
                <w:szCs w:val="15"/>
              </w:rPr>
              <w:alias w:val="在建工程明细"/>
              <w:tag w:val="_GBC_b84d9018f52b45beabeca7c2371cdc18"/>
              <w:id w:val="25154887"/>
              <w:lock w:val="sdtLocked"/>
            </w:sdtPr>
            <w:sdtEndPr>
              <w:rPr>
                <w:rFonts w:hint="eastAsia" w:asciiTheme="minorEastAsia" w:hAnsi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710" w:type="dxa"/>
                    <w:shd w:val="clear" w:color="auto" w:fill="auto"/>
                  </w:tcPr>
                  <w:p>
                    <w:pPr>
                      <w:pStyle w:val="76"/>
                      <w:ind w:right="105"/>
                      <w:rPr>
                        <w:rFonts w:asciiTheme="minorEastAsia" w:hAnsiTheme="minorEastAsia"/>
                        <w:sz w:val="15"/>
                        <w:szCs w:val="15"/>
                      </w:rPr>
                    </w:pPr>
                    <w:r>
                      <w:rPr>
                        <w:sz w:val="15"/>
                        <w:szCs w:val="15"/>
                      </w:rPr>
                      <w:t>6号高炉性能恢复改造项目</w:t>
                    </w:r>
                  </w:p>
                </w:tc>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20,000,000.00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26,458,337.61</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979,345.92</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27,437,683.53</w:t>
                    </w:r>
                  </w:p>
                </w:tc>
                <w:tc>
                  <w:tcPr>
                    <w:tcW w:w="56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95</w:t>
                    </w:r>
                  </w:p>
                </w:tc>
                <w:tc>
                  <w:tcPr>
                    <w:tcW w:w="437" w:type="dxa"/>
                    <w:shd w:val="clear" w:color="auto" w:fill="auto"/>
                    <w:vAlign w:val="center"/>
                  </w:tcPr>
                  <w:p>
                    <w:pPr>
                      <w:pStyle w:val="76"/>
                      <w:jc w:val="right"/>
                      <w:rPr>
                        <w:rFonts w:ascii="Arial Narrow" w:hAnsi="Arial Narrow"/>
                        <w:sz w:val="15"/>
                        <w:szCs w:val="15"/>
                      </w:rPr>
                    </w:pPr>
                    <w:r>
                      <w:rPr>
                        <w:rFonts w:ascii="Arial Narrow" w:hAnsi="Arial Narrow"/>
                        <w:sz w:val="15"/>
                        <w:szCs w:val="15"/>
                      </w:rPr>
                      <w:t>95</w:t>
                    </w:r>
                  </w:p>
                </w:tc>
                <w:tc>
                  <w:tcPr>
                    <w:tcW w:w="985" w:type="dxa"/>
                    <w:shd w:val="clear" w:color="auto" w:fill="auto"/>
                    <w:vAlign w:val="center"/>
                  </w:tcPr>
                  <w:p>
                    <w:pPr>
                      <w:pStyle w:val="76"/>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jc w:val="right"/>
                      <w:rPr>
                        <w:rFonts w:ascii="Arial Narrow" w:hAnsi="Arial Narrow"/>
                        <w:sz w:val="15"/>
                        <w:szCs w:val="15"/>
                      </w:rPr>
                    </w:pPr>
                  </w:p>
                </w:tc>
                <w:tc>
                  <w:tcPr>
                    <w:tcW w:w="565" w:type="dxa"/>
                    <w:shd w:val="clear" w:color="auto" w:fill="auto"/>
                  </w:tcPr>
                  <w:p>
                    <w:pPr>
                      <w:pStyle w:val="76"/>
                      <w:jc w:val="center"/>
                      <w:rPr>
                        <w:rFonts w:asciiTheme="minorEastAsia" w:hAnsiTheme="minorEastAsia"/>
                        <w:sz w:val="15"/>
                        <w:szCs w:val="15"/>
                      </w:rPr>
                    </w:pPr>
                    <w:r>
                      <w:rPr>
                        <w:rFonts w:asciiTheme="minorEastAsia" w:hAnsiTheme="minorEastAsia"/>
                        <w:sz w:val="15"/>
                        <w:szCs w:val="15"/>
                      </w:rPr>
                      <w:t>自筹</w:t>
                    </w:r>
                  </w:p>
                </w:tc>
              </w:tr>
            </w:sdtContent>
          </w:sdt>
          <w:sdt>
            <w:sdtPr>
              <w:rPr>
                <w:rFonts w:hint="eastAsia" w:asciiTheme="minorEastAsia" w:hAnsiTheme="minorEastAsia"/>
                <w:sz w:val="15"/>
                <w:szCs w:val="15"/>
              </w:rPr>
              <w:alias w:val="在建工程明细"/>
              <w:tag w:val="_GBC_b84d9018f52b45beabeca7c2371cdc18"/>
              <w:id w:val="25154888"/>
              <w:lock w:val="sdtLocked"/>
            </w:sdtPr>
            <w:sdtEndPr>
              <w:rPr>
                <w:rFonts w:hint="eastAsia" w:asciiTheme="minorEastAsia" w:hAnsi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710" w:type="dxa"/>
                    <w:shd w:val="clear" w:color="auto" w:fill="auto"/>
                  </w:tcPr>
                  <w:p>
                    <w:pPr>
                      <w:pStyle w:val="76"/>
                      <w:ind w:right="105"/>
                      <w:rPr>
                        <w:rFonts w:asciiTheme="minorEastAsia" w:hAnsiTheme="minorEastAsia"/>
                        <w:sz w:val="15"/>
                        <w:szCs w:val="15"/>
                      </w:rPr>
                    </w:pPr>
                    <w:r>
                      <w:rPr>
                        <w:sz w:val="15"/>
                        <w:szCs w:val="15"/>
                      </w:rPr>
                      <w:t>废水生化处理系统升级改造项目</w:t>
                    </w:r>
                  </w:p>
                </w:tc>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32,000,000.00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9,861,212.06</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600,450.45</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10,461,662.51</w:t>
                    </w:r>
                  </w:p>
                </w:tc>
                <w:tc>
                  <w:tcPr>
                    <w:tcW w:w="567" w:type="dxa"/>
                    <w:shd w:val="clear" w:color="auto" w:fill="auto"/>
                    <w:vAlign w:val="center"/>
                  </w:tcPr>
                  <w:p>
                    <w:pPr>
                      <w:pStyle w:val="76"/>
                      <w:jc w:val="right"/>
                      <w:rPr>
                        <w:rFonts w:ascii="Arial Narrow" w:hAnsi="Arial Narrow"/>
                        <w:sz w:val="15"/>
                        <w:szCs w:val="15"/>
                      </w:rPr>
                    </w:pPr>
                    <w:r>
                      <w:rPr>
                        <w:rFonts w:ascii="Arial Narrow" w:hAnsi="Arial Narrow"/>
                        <w:sz w:val="15"/>
                        <w:szCs w:val="15"/>
                      </w:rPr>
                      <w:t>50</w:t>
                    </w:r>
                  </w:p>
                </w:tc>
                <w:tc>
                  <w:tcPr>
                    <w:tcW w:w="437" w:type="dxa"/>
                    <w:shd w:val="clear" w:color="auto" w:fill="auto"/>
                    <w:vAlign w:val="center"/>
                  </w:tcPr>
                  <w:p>
                    <w:pPr>
                      <w:pStyle w:val="76"/>
                      <w:jc w:val="right"/>
                      <w:rPr>
                        <w:rFonts w:ascii="Arial Narrow" w:hAnsi="Arial Narrow"/>
                        <w:sz w:val="15"/>
                        <w:szCs w:val="15"/>
                      </w:rPr>
                    </w:pPr>
                    <w:r>
                      <w:rPr>
                        <w:rFonts w:ascii="Arial Narrow" w:hAnsi="Arial Narrow"/>
                        <w:sz w:val="15"/>
                        <w:szCs w:val="15"/>
                      </w:rPr>
                      <w:t>60</w:t>
                    </w:r>
                  </w:p>
                </w:tc>
                <w:tc>
                  <w:tcPr>
                    <w:tcW w:w="985" w:type="dxa"/>
                    <w:shd w:val="clear" w:color="auto" w:fill="auto"/>
                    <w:vAlign w:val="center"/>
                  </w:tcPr>
                  <w:p>
                    <w:pPr>
                      <w:pStyle w:val="76"/>
                      <w:jc w:val="right"/>
                      <w:rPr>
                        <w:rFonts w:ascii="Arial Narrow" w:hAnsi="Arial Narrow"/>
                        <w:sz w:val="15"/>
                        <w:szCs w:val="15"/>
                      </w:rPr>
                    </w:pPr>
                    <w:r>
                      <w:rPr>
                        <w:rFonts w:ascii="Arial Narrow" w:hAnsi="Arial Narrow"/>
                        <w:sz w:val="15"/>
                        <w:szCs w:val="15"/>
                      </w:rPr>
                      <w:t>304,271.38</w:t>
                    </w: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jc w:val="right"/>
                      <w:rPr>
                        <w:rFonts w:ascii="Arial Narrow" w:hAnsi="Arial Narrow"/>
                        <w:sz w:val="15"/>
                        <w:szCs w:val="15"/>
                      </w:rPr>
                    </w:pPr>
                  </w:p>
                </w:tc>
                <w:tc>
                  <w:tcPr>
                    <w:tcW w:w="565" w:type="dxa"/>
                    <w:shd w:val="clear" w:color="auto" w:fill="auto"/>
                  </w:tcPr>
                  <w:p>
                    <w:pPr>
                      <w:pStyle w:val="76"/>
                      <w:jc w:val="center"/>
                      <w:rPr>
                        <w:rFonts w:asciiTheme="minorEastAsia" w:hAnsiTheme="minorEastAsia"/>
                        <w:sz w:val="15"/>
                        <w:szCs w:val="15"/>
                      </w:rPr>
                    </w:pPr>
                    <w:r>
                      <w:rPr>
                        <w:rFonts w:asciiTheme="minorEastAsia" w:hAnsiTheme="minorEastAsia"/>
                        <w:sz w:val="15"/>
                        <w:szCs w:val="15"/>
                      </w:rPr>
                      <w:t>自筹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Theme="minorEastAsia" w:hAnsiTheme="minorEastAsia"/>
                  <w:sz w:val="18"/>
                  <w:szCs w:val="18"/>
                </w:rPr>
                <w:tag w:val="_PLD_942a3001646f41f087960bab251b2bbb"/>
                <w:id w:val="25154889"/>
                <w:lock w:val="sdtLocked"/>
              </w:sdtPr>
              <w:sdtEndPr>
                <w:rPr>
                  <w:rFonts w:asciiTheme="minorEastAsia" w:hAnsiTheme="minorEastAsia"/>
                  <w:sz w:val="18"/>
                  <w:szCs w:val="18"/>
                </w:rPr>
              </w:sdtEndPr>
              <w:sdtContent>
                <w:tc>
                  <w:tcPr>
                    <w:tcW w:w="1710" w:type="dxa"/>
                    <w:shd w:val="clear" w:color="auto" w:fill="auto"/>
                    <w:vAlign w:val="center"/>
                  </w:tcPr>
                  <w:p>
                    <w:pPr>
                      <w:pStyle w:val="76"/>
                      <w:ind w:right="105"/>
                      <w:jc w:val="center"/>
                      <w:rPr>
                        <w:rFonts w:asciiTheme="minorEastAsia" w:hAnsiTheme="minorEastAsia"/>
                        <w:sz w:val="18"/>
                        <w:szCs w:val="18"/>
                      </w:rPr>
                    </w:pPr>
                    <w:r>
                      <w:rPr>
                        <w:rFonts w:hint="eastAsia" w:asciiTheme="minorEastAsia" w:hAnsiTheme="minorEastAsia"/>
                        <w:sz w:val="18"/>
                        <w:szCs w:val="18"/>
                      </w:rPr>
                      <w:t>合计</w:t>
                    </w:r>
                  </w:p>
                </w:tc>
              </w:sdtContent>
            </w:sdt>
            <w:tc>
              <w:tcPr>
                <w:tcW w:w="1127" w:type="dxa"/>
                <w:shd w:val="clear" w:color="auto" w:fill="auto"/>
                <w:vAlign w:val="center"/>
              </w:tcPr>
              <w:p>
                <w:pPr>
                  <w:pStyle w:val="76"/>
                  <w:ind w:right="105"/>
                  <w:jc w:val="right"/>
                  <w:rPr>
                    <w:rFonts w:ascii="Arial Narrow" w:hAnsi="Arial Narrow"/>
                    <w:sz w:val="15"/>
                    <w:szCs w:val="15"/>
                  </w:rPr>
                </w:pPr>
                <w:r>
                  <w:rPr>
                    <w:rFonts w:ascii="Arial Narrow" w:hAnsi="Arial Narrow"/>
                    <w:sz w:val="15"/>
                    <w:szCs w:val="15"/>
                  </w:rPr>
                  <w:t>295,000,000.00</w:t>
                </w:r>
              </w:p>
            </w:tc>
            <w:tc>
              <w:tcPr>
                <w:tcW w:w="993" w:type="dxa"/>
                <w:shd w:val="clear" w:color="auto" w:fill="auto"/>
                <w:vAlign w:val="center"/>
              </w:tcPr>
              <w:p>
                <w:pPr>
                  <w:pStyle w:val="76"/>
                  <w:jc w:val="right"/>
                  <w:rPr>
                    <w:rFonts w:ascii="Arial Narrow" w:hAnsi="Arial Narrow"/>
                    <w:sz w:val="15"/>
                    <w:szCs w:val="15"/>
                  </w:rPr>
                </w:pPr>
                <w:r>
                  <w:rPr>
                    <w:rFonts w:ascii="Arial Narrow" w:hAnsi="Arial Narrow"/>
                    <w:sz w:val="15"/>
                    <w:szCs w:val="15"/>
                  </w:rPr>
                  <w:t>210,629,298.91</w:t>
                </w:r>
              </w:p>
            </w:tc>
            <w:tc>
              <w:tcPr>
                <w:tcW w:w="991" w:type="dxa"/>
                <w:shd w:val="clear" w:color="auto" w:fill="auto"/>
                <w:vAlign w:val="center"/>
              </w:tcPr>
              <w:p>
                <w:pPr>
                  <w:pStyle w:val="76"/>
                  <w:ind w:right="73"/>
                  <w:jc w:val="right"/>
                  <w:rPr>
                    <w:rFonts w:ascii="Arial Narrow" w:hAnsi="Arial Narrow"/>
                    <w:sz w:val="15"/>
                    <w:szCs w:val="15"/>
                  </w:rPr>
                </w:pPr>
                <w:r>
                  <w:rPr>
                    <w:rFonts w:ascii="Arial Narrow" w:hAnsi="Arial Narrow"/>
                    <w:sz w:val="15"/>
                    <w:szCs w:val="15"/>
                  </w:rPr>
                  <w:t>22,466,073.04</w:t>
                </w:r>
              </w:p>
            </w:tc>
            <w:tc>
              <w:tcPr>
                <w:tcW w:w="567" w:type="dxa"/>
                <w:shd w:val="clear" w:color="auto" w:fill="auto"/>
                <w:vAlign w:val="center"/>
              </w:tcPr>
              <w:p>
                <w:pPr>
                  <w:pStyle w:val="76"/>
                  <w:ind w:right="73"/>
                  <w:jc w:val="right"/>
                  <w:rPr>
                    <w:rFonts w:ascii="Arial Narrow" w:hAnsi="Arial Narrow"/>
                    <w:sz w:val="15"/>
                    <w:szCs w:val="15"/>
                  </w:rPr>
                </w:pPr>
              </w:p>
            </w:tc>
            <w:tc>
              <w:tcPr>
                <w:tcW w:w="567" w:type="dxa"/>
                <w:shd w:val="clear" w:color="auto" w:fill="auto"/>
                <w:vAlign w:val="center"/>
              </w:tcPr>
              <w:p>
                <w:pPr>
                  <w:pStyle w:val="76"/>
                  <w:jc w:val="right"/>
                  <w:rPr>
                    <w:rFonts w:ascii="Arial Narrow" w:hAnsi="Arial Narrow"/>
                    <w:sz w:val="15"/>
                    <w:szCs w:val="15"/>
                  </w:rPr>
                </w:pPr>
              </w:p>
            </w:tc>
            <w:tc>
              <w:tcPr>
                <w:tcW w:w="991" w:type="dxa"/>
                <w:vAlign w:val="center"/>
              </w:tcPr>
              <w:p>
                <w:pPr>
                  <w:pStyle w:val="76"/>
                  <w:jc w:val="right"/>
                  <w:rPr>
                    <w:rFonts w:ascii="Arial Narrow" w:hAnsi="Arial Narrow"/>
                    <w:sz w:val="15"/>
                    <w:szCs w:val="15"/>
                  </w:rPr>
                </w:pPr>
                <w:r>
                  <w:rPr>
                    <w:rFonts w:ascii="Arial Narrow" w:hAnsi="Arial Narrow"/>
                    <w:sz w:val="15"/>
                    <w:szCs w:val="15"/>
                  </w:rPr>
                  <w:t>233,095,371.95</w:t>
                </w:r>
              </w:p>
            </w:tc>
            <w:tc>
              <w:tcPr>
                <w:tcW w:w="567" w:type="dxa"/>
                <w:shd w:val="clear" w:color="auto" w:fill="auto"/>
                <w:vAlign w:val="center"/>
              </w:tcPr>
              <w:p>
                <w:pPr>
                  <w:pStyle w:val="76"/>
                  <w:ind w:right="174"/>
                  <w:jc w:val="right"/>
                  <w:rPr>
                    <w:rFonts w:ascii="Arial Narrow" w:hAnsi="Arial Narrow"/>
                    <w:sz w:val="15"/>
                    <w:szCs w:val="15"/>
                  </w:rPr>
                </w:pPr>
                <w:r>
                  <w:rPr>
                    <w:rFonts w:ascii="Arial Narrow" w:hAnsi="Arial Narrow"/>
                    <w:sz w:val="15"/>
                    <w:szCs w:val="15"/>
                  </w:rPr>
                  <w:t>　</w:t>
                </w:r>
              </w:p>
            </w:tc>
            <w:tc>
              <w:tcPr>
                <w:tcW w:w="437" w:type="dxa"/>
                <w:shd w:val="clear" w:color="auto" w:fill="auto"/>
                <w:vAlign w:val="center"/>
              </w:tcPr>
              <w:p>
                <w:pPr>
                  <w:pStyle w:val="76"/>
                  <w:ind w:right="174"/>
                  <w:jc w:val="right"/>
                  <w:rPr>
                    <w:rFonts w:ascii="Arial Narrow" w:hAnsi="Arial Narrow"/>
                    <w:sz w:val="15"/>
                    <w:szCs w:val="15"/>
                  </w:rPr>
                </w:pPr>
                <w:r>
                  <w:rPr>
                    <w:rFonts w:ascii="Arial Narrow" w:hAnsi="Arial Narrow"/>
                    <w:sz w:val="15"/>
                    <w:szCs w:val="15"/>
                  </w:rPr>
                  <w:t>　</w:t>
                </w:r>
              </w:p>
            </w:tc>
            <w:tc>
              <w:tcPr>
                <w:tcW w:w="985" w:type="dxa"/>
                <w:shd w:val="clear" w:color="auto" w:fill="auto"/>
                <w:vAlign w:val="center"/>
              </w:tcPr>
              <w:p>
                <w:pPr>
                  <w:pStyle w:val="76"/>
                  <w:jc w:val="right"/>
                  <w:rPr>
                    <w:rFonts w:ascii="Arial Narrow" w:hAnsi="Arial Narrow"/>
                    <w:sz w:val="15"/>
                    <w:szCs w:val="15"/>
                  </w:rPr>
                </w:pPr>
                <w:r>
                  <w:rPr>
                    <w:rFonts w:ascii="Arial Narrow" w:hAnsi="Arial Narrow"/>
                    <w:sz w:val="15"/>
                    <w:szCs w:val="15"/>
                  </w:rPr>
                  <w:t>7,967,249.36</w:t>
                </w:r>
              </w:p>
            </w:tc>
            <w:tc>
              <w:tcPr>
                <w:tcW w:w="567" w:type="dxa"/>
                <w:shd w:val="clear" w:color="auto" w:fill="auto"/>
                <w:vAlign w:val="center"/>
              </w:tcPr>
              <w:p>
                <w:pPr>
                  <w:pStyle w:val="76"/>
                  <w:jc w:val="right"/>
                  <w:rPr>
                    <w:rFonts w:ascii="Arial Narrow" w:hAnsi="Arial Narrow"/>
                    <w:sz w:val="15"/>
                    <w:szCs w:val="15"/>
                  </w:rPr>
                </w:pPr>
              </w:p>
            </w:tc>
            <w:tc>
              <w:tcPr>
                <w:tcW w:w="707" w:type="dxa"/>
                <w:shd w:val="clear" w:color="auto" w:fill="auto"/>
                <w:vAlign w:val="center"/>
              </w:tcPr>
              <w:p>
                <w:pPr>
                  <w:pStyle w:val="76"/>
                  <w:ind w:right="174"/>
                  <w:jc w:val="right"/>
                  <w:rPr>
                    <w:rFonts w:ascii="Arial Narrow" w:hAnsi="Arial Narrow"/>
                    <w:sz w:val="15"/>
                    <w:szCs w:val="15"/>
                  </w:rPr>
                </w:pPr>
                <w:r>
                  <w:rPr>
                    <w:rFonts w:ascii="Arial Narrow" w:hAnsi="Arial Narrow"/>
                    <w:sz w:val="15"/>
                    <w:szCs w:val="15"/>
                  </w:rPr>
                  <w:t>　</w:t>
                </w:r>
              </w:p>
            </w:tc>
            <w:tc>
              <w:tcPr>
                <w:tcW w:w="565" w:type="dxa"/>
                <w:shd w:val="clear" w:color="auto" w:fill="auto"/>
              </w:tcPr>
              <w:p>
                <w:pPr>
                  <w:pStyle w:val="76"/>
                  <w:ind w:right="174"/>
                  <w:jc w:val="center"/>
                  <w:rPr>
                    <w:rFonts w:asciiTheme="minorEastAsia" w:hAnsiTheme="minorEastAsia"/>
                    <w:sz w:val="15"/>
                    <w:szCs w:val="15"/>
                  </w:rPr>
                </w:pPr>
                <w:r>
                  <w:rPr>
                    <w:rFonts w:asciiTheme="minorEastAsia" w:hAnsiTheme="minorEastAsia"/>
                    <w:sz w:val="15"/>
                    <w:szCs w:val="15"/>
                  </w:rPr>
                  <w:t>/</w:t>
                </w:r>
              </w:p>
            </w:tc>
          </w:tr>
        </w:tbl>
        <w:p>
          <w:pPr>
            <w:pStyle w:val="76"/>
            <w:snapToGrid w:val="0"/>
            <w:spacing w:line="240" w:lineRule="atLeast"/>
            <w:rPr>
              <w:szCs w:val="21"/>
            </w:rPr>
          </w:pPr>
        </w:p>
      </w:sdtContent>
    </w:sdt>
    <w:sdt>
      <w:sdtPr>
        <w:rPr>
          <w:rFonts w:hint="eastAsia" w:ascii="宋体" w:hAnsi="宋体" w:cs="宋体"/>
          <w:b w:val="0"/>
          <w:bCs w:val="0"/>
          <w:kern w:val="0"/>
          <w:szCs w:val="21"/>
        </w:rPr>
        <w:alias w:val="模块:在建工程减值准备"/>
        <w:tag w:val="_GBC_467986eee7244ad69e86a4292f121eb6"/>
        <w:id w:val="25154892"/>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80"/>
            <w:numPr>
              <w:ilvl w:val="0"/>
              <w:numId w:val="58"/>
            </w:numPr>
            <w:tabs>
              <w:tab w:val="left" w:pos="588"/>
            </w:tabs>
            <w:rPr>
              <w:rFonts w:ascii="宋体" w:hAnsi="宋体"/>
              <w:szCs w:val="21"/>
            </w:rPr>
          </w:pPr>
          <w:r>
            <w:rPr>
              <w:rFonts w:hint="eastAsia" w:ascii="宋体" w:hAnsi="宋体"/>
              <w:szCs w:val="21"/>
            </w:rPr>
            <w:t>本期计提在建工程减值准备情况：</w:t>
          </w:r>
        </w:p>
        <w:sdt>
          <w:sdtPr>
            <w:alias w:val="是否适用：本期计提在建工程减值准备情况[双击切换]"/>
            <w:tag w:val="_GBC_b220fd94287f4b01997861dc2c72b0a6"/>
            <w:id w:val="2515489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25154894"/>
        <w:lock w:val="sdtLocked"/>
        <w:placeholder>
          <w:docPart w:val="GBC22222222222222222222222222222"/>
        </w:placeholder>
      </w:sdtPr>
      <w:sdtEndPr>
        <w:rPr>
          <w:rFonts w:hint="default"/>
          <w:szCs w:val="21"/>
        </w:rPr>
      </w:sdtEndPr>
      <w:sdtContent>
        <w:p>
          <w:pPr>
            <w:pStyle w:val="76"/>
            <w:rPr>
              <w:szCs w:val="21"/>
            </w:rPr>
          </w:pPr>
          <w:r>
            <w:rPr>
              <w:rFonts w:hint="eastAsia"/>
              <w:szCs w:val="21"/>
            </w:rPr>
            <w:t>其他说明</w:t>
          </w:r>
        </w:p>
        <w:sdt>
          <w:sdtPr>
            <w:rPr>
              <w:szCs w:val="21"/>
            </w:rPr>
            <w:alias w:val="是否适用：在建工程的说明[双击切换]"/>
            <w:tag w:val="_GBC_c0ffdfbb304348758da855627ba6d858"/>
            <w:id w:val="25154893"/>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宋体" w:hAnsi="宋体" w:cstheme="minorBidi"/>
          <w:b w:val="0"/>
          <w:bCs w:val="0"/>
          <w:kern w:val="0"/>
          <w:szCs w:val="21"/>
        </w:rPr>
        <w:alias w:val="模块:工程物资"/>
        <w:tag w:val="_GBC_12c2ea8f308b49c7b5e2baae867f1ec7"/>
        <w:id w:val="25154905"/>
        <w:lock w:val="sdtLocked"/>
        <w:placeholder>
          <w:docPart w:val="GBC22222222222222222222222222222"/>
        </w:placeholder>
      </w:sdtPr>
      <w:sdtEndPr>
        <w:rPr>
          <w:rFonts w:hint="default" w:ascii="宋体" w:hAnsi="宋体" w:cstheme="minorBidi"/>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工程物资</w:t>
          </w:r>
        </w:p>
        <w:sdt>
          <w:sdtPr>
            <w:alias w:val="是否适用：工程物资[双击切换]"/>
            <w:tag w:val="_GBC_0d711628566c4b08b883151766986b20"/>
            <w:id w:val="2515489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jc w:val="right"/>
            <w:rPr>
              <w:szCs w:val="21"/>
            </w:rPr>
          </w:pPr>
          <w:r>
            <w:rPr>
              <w:rFonts w:hint="eastAsia"/>
              <w:szCs w:val="21"/>
            </w:rPr>
            <w:t>单位：</w:t>
          </w:r>
          <w:sdt>
            <w:sdtPr>
              <w:rPr>
                <w:rFonts w:hint="eastAsia"/>
                <w:szCs w:val="21"/>
              </w:rPr>
              <w:alias w:val="单位：财务附注：工程物资"/>
              <w:tag w:val="_GBC_9e438118345a414ebb42540883d9d901"/>
              <w:id w:val="251548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251548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66"/>
            <w:gridCol w:w="3208"/>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3bf5015376e94eaaab89494daf47d483"/>
                <w:id w:val="25154898"/>
                <w:lock w:val="sdtLocked"/>
              </w:sdtPr>
              <w:sdtContent>
                <w:tc>
                  <w:tcPr>
                    <w:tcW w:w="2466" w:type="dxa"/>
                    <w:vAlign w:val="center"/>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dab47911978943dcbd8fa600393a4173"/>
                <w:id w:val="25154899"/>
                <w:lock w:val="sdtLocked"/>
              </w:sdtPr>
              <w:sdtContent>
                <w:tc>
                  <w:tcPr>
                    <w:tcW w:w="3208" w:type="dxa"/>
                    <w:vAlign w:val="center"/>
                  </w:tcPr>
                  <w:p>
                    <w:pPr>
                      <w:pStyle w:val="76"/>
                      <w:autoSpaceDE w:val="0"/>
                      <w:autoSpaceDN w:val="0"/>
                      <w:adjustRightInd w:val="0"/>
                      <w:snapToGrid w:val="0"/>
                      <w:spacing w:line="240" w:lineRule="atLeast"/>
                      <w:jc w:val="center"/>
                      <w:rPr>
                        <w:szCs w:val="21"/>
                      </w:rPr>
                    </w:pPr>
                    <w:r>
                      <w:rPr>
                        <w:rFonts w:hint="eastAsia"/>
                        <w:szCs w:val="21"/>
                      </w:rPr>
                      <w:t>期末余额</w:t>
                    </w:r>
                  </w:p>
                </w:tc>
              </w:sdtContent>
            </w:sdt>
            <w:sdt>
              <w:sdtPr>
                <w:tag w:val="_PLD_ea7448cfdf674da0a147aa9f4b39221d"/>
                <w:id w:val="25154900"/>
                <w:lock w:val="sdtLocked"/>
              </w:sdtPr>
              <w:sdtContent>
                <w:tc>
                  <w:tcPr>
                    <w:tcW w:w="3219" w:type="dxa"/>
                    <w:vAlign w:val="center"/>
                  </w:tcPr>
                  <w:p>
                    <w:pPr>
                      <w:pStyle w:val="76"/>
                      <w:autoSpaceDE w:val="0"/>
                      <w:autoSpaceDN w:val="0"/>
                      <w:adjustRightInd w:val="0"/>
                      <w:snapToGrid w:val="0"/>
                      <w:spacing w:line="240" w:lineRule="atLeast"/>
                      <w:jc w:val="center"/>
                      <w:rPr>
                        <w:szCs w:val="21"/>
                      </w:rPr>
                    </w:pPr>
                    <w:r>
                      <w:rPr>
                        <w:rFonts w:hint="eastAsia"/>
                        <w:szCs w:val="21"/>
                      </w:rPr>
                      <w:t>期初余额</w:t>
                    </w:r>
                  </w:p>
                </w:tc>
              </w:sdtContent>
            </w:sdt>
          </w:tr>
          <w:sdt>
            <w:sdtPr>
              <w:rPr>
                <w:rFonts w:hint="eastAsia"/>
                <w:szCs w:val="21"/>
              </w:rPr>
              <w:alias w:val="工程物资明细"/>
              <w:tag w:val="_GBC_911e7a77647e4c9f9a58aa99fe4d9e47"/>
              <w:id w:val="25154901"/>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tcPr>
                  <w:p>
                    <w:pPr>
                      <w:pStyle w:val="76"/>
                      <w:autoSpaceDE w:val="0"/>
                      <w:autoSpaceDN w:val="0"/>
                      <w:adjustRightInd w:val="0"/>
                      <w:snapToGrid w:val="0"/>
                      <w:spacing w:line="240" w:lineRule="atLeast"/>
                      <w:rPr>
                        <w:szCs w:val="21"/>
                      </w:rPr>
                    </w:pPr>
                    <w:r>
                      <w:t>专用材料</w:t>
                    </w:r>
                  </w:p>
                </w:tc>
                <w:tc>
                  <w:tcPr>
                    <w:tcW w:w="3208" w:type="dxa"/>
                  </w:tcPr>
                  <w:p>
                    <w:pPr>
                      <w:pStyle w:val="76"/>
                      <w:jc w:val="right"/>
                      <w:rPr>
                        <w:szCs w:val="21"/>
                      </w:rPr>
                    </w:pPr>
                    <w:r>
                      <w:t>550,099.61</w:t>
                    </w:r>
                  </w:p>
                </w:tc>
                <w:tc>
                  <w:tcPr>
                    <w:tcW w:w="3219" w:type="dxa"/>
                  </w:tcPr>
                  <w:p>
                    <w:pPr>
                      <w:pStyle w:val="76"/>
                      <w:jc w:val="right"/>
                      <w:rPr>
                        <w:szCs w:val="21"/>
                      </w:rPr>
                    </w:pPr>
                    <w:r>
                      <w:t>494,605.80</w:t>
                    </w:r>
                  </w:p>
                </w:tc>
              </w:tr>
            </w:sdtContent>
          </w:sdt>
          <w:sdt>
            <w:sdtPr>
              <w:rPr>
                <w:rFonts w:hint="eastAsia"/>
                <w:szCs w:val="21"/>
              </w:rPr>
              <w:alias w:val="工程物资明细"/>
              <w:tag w:val="_GBC_911e7a77647e4c9f9a58aa99fe4d9e47"/>
              <w:id w:val="25154902"/>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tcPr>
                  <w:p>
                    <w:pPr>
                      <w:pStyle w:val="76"/>
                      <w:autoSpaceDE w:val="0"/>
                      <w:autoSpaceDN w:val="0"/>
                      <w:adjustRightInd w:val="0"/>
                      <w:snapToGrid w:val="0"/>
                      <w:spacing w:line="240" w:lineRule="atLeast"/>
                      <w:rPr>
                        <w:szCs w:val="21"/>
                      </w:rPr>
                    </w:pPr>
                    <w:r>
                      <w:t>专用设备</w:t>
                    </w:r>
                  </w:p>
                </w:tc>
                <w:tc>
                  <w:tcPr>
                    <w:tcW w:w="3208" w:type="dxa"/>
                  </w:tcPr>
                  <w:p>
                    <w:pPr>
                      <w:pStyle w:val="76"/>
                      <w:jc w:val="right"/>
                      <w:rPr>
                        <w:szCs w:val="21"/>
                      </w:rPr>
                    </w:pPr>
                    <w:r>
                      <w:t>23,339,062.76</w:t>
                    </w:r>
                  </w:p>
                </w:tc>
                <w:tc>
                  <w:tcPr>
                    <w:tcW w:w="3219" w:type="dxa"/>
                  </w:tcPr>
                  <w:p>
                    <w:pPr>
                      <w:pStyle w:val="76"/>
                      <w:jc w:val="right"/>
                      <w:rPr>
                        <w:szCs w:val="21"/>
                      </w:rPr>
                    </w:pPr>
                    <w:r>
                      <w:t>15,366,639.01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d14dc1210aba4aa5b6f3b5dd5e8ca7a6"/>
                <w:id w:val="25154903"/>
                <w:lock w:val="sdtLocked"/>
              </w:sdtPr>
              <w:sdtContent>
                <w:tc>
                  <w:tcPr>
                    <w:tcW w:w="2466" w:type="dxa"/>
                    <w:vAlign w:val="center"/>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3208" w:type="dxa"/>
              </w:tcPr>
              <w:p>
                <w:pPr>
                  <w:pStyle w:val="76"/>
                  <w:jc w:val="right"/>
                  <w:rPr>
                    <w:szCs w:val="21"/>
                  </w:rPr>
                </w:pPr>
                <w:r>
                  <w:t>23,889,162.37</w:t>
                </w:r>
              </w:p>
            </w:tc>
            <w:tc>
              <w:tcPr>
                <w:tcW w:w="3219" w:type="dxa"/>
              </w:tcPr>
              <w:p>
                <w:pPr>
                  <w:pStyle w:val="76"/>
                  <w:jc w:val="right"/>
                  <w:rPr>
                    <w:szCs w:val="21"/>
                  </w:rPr>
                </w:pPr>
                <w:r>
                  <w:t>15,861,244.81</w:t>
                </w:r>
              </w:p>
            </w:tc>
          </w:tr>
        </w:tbl>
        <w:p>
          <w:pPr>
            <w:pStyle w:val="76"/>
            <w:rPr>
              <w:szCs w:val="21"/>
            </w:rPr>
          </w:pPr>
        </w:p>
      </w:sdtContent>
    </w:sdt>
    <w:p>
      <w:pPr>
        <w:pStyle w:val="76"/>
        <w:rPr>
          <w:szCs w:val="21"/>
        </w:rPr>
      </w:pPr>
    </w:p>
    <w:sdt>
      <w:sdtPr>
        <w:rPr>
          <w:rFonts w:hint="eastAsia" w:ascii="宋体" w:hAnsi="宋体" w:cs="宋体"/>
          <w:b w:val="0"/>
          <w:bCs w:val="0"/>
          <w:kern w:val="0"/>
          <w:szCs w:val="21"/>
        </w:rPr>
        <w:alias w:val="模块:固定资产清理"/>
        <w:tag w:val="_GBC_0de4677cdcb54eaa8c2b2afa938f1054"/>
        <w:id w:val="25154916"/>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szCs w:val="21"/>
            </w:rPr>
            <w:t>固定资产</w:t>
          </w:r>
          <w:r>
            <w:rPr>
              <w:rFonts w:hint="eastAsia" w:ascii="宋体" w:hAnsi="宋体"/>
              <w:szCs w:val="21"/>
            </w:rPr>
            <w:t>清理</w:t>
          </w:r>
        </w:p>
        <w:sdt>
          <w:sdtPr>
            <w:alias w:val="是否适用：固定资产清理[双击切换]"/>
            <w:tag w:val="_GBC_d005d220fbda4cd2a58ced6d0d7a1404"/>
            <w:id w:val="2515490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固定资产清理"/>
              <w:tag w:val="_GBC_c77c37d4be5244c98a73ad0829a868ca"/>
              <w:id w:val="251549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251549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65"/>
            <w:gridCol w:w="3221"/>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c0b231ac6c548e1bff3e49f88bf6d0a"/>
                <w:id w:val="25154909"/>
                <w:lock w:val="sdtLocked"/>
              </w:sdtPr>
              <w:sdtContent>
                <w:tc>
                  <w:tcPr>
                    <w:tcW w:w="2465" w:type="dxa"/>
                    <w:shd w:val="clear" w:color="auto" w:fill="auto"/>
                  </w:tcPr>
                  <w:p>
                    <w:pPr>
                      <w:pStyle w:val="76"/>
                      <w:jc w:val="center"/>
                    </w:pPr>
                    <w:r>
                      <w:rPr>
                        <w:rFonts w:hint="eastAsia"/>
                      </w:rPr>
                      <w:t>项目</w:t>
                    </w:r>
                  </w:p>
                </w:tc>
              </w:sdtContent>
            </w:sdt>
            <w:sdt>
              <w:sdtPr>
                <w:tag w:val="_PLD_a026f90b6f2343ccbfe5d70bbff15ffc"/>
                <w:id w:val="25154910"/>
                <w:lock w:val="sdtLocked"/>
              </w:sdtPr>
              <w:sdtContent>
                <w:tc>
                  <w:tcPr>
                    <w:tcW w:w="3221" w:type="dxa"/>
                    <w:shd w:val="clear" w:color="auto" w:fill="auto"/>
                  </w:tcPr>
                  <w:p>
                    <w:pPr>
                      <w:pStyle w:val="76"/>
                      <w:jc w:val="center"/>
                    </w:pPr>
                    <w:r>
                      <w:rPr>
                        <w:rFonts w:hint="eastAsia"/>
                      </w:rPr>
                      <w:t>期末余额</w:t>
                    </w:r>
                  </w:p>
                </w:tc>
              </w:sdtContent>
            </w:sdt>
            <w:sdt>
              <w:sdtPr>
                <w:tag w:val="_PLD_3f30c69a4984493cb128422af65300e8"/>
                <w:id w:val="25154911"/>
                <w:lock w:val="sdtLocked"/>
              </w:sdtPr>
              <w:sdtContent>
                <w:tc>
                  <w:tcPr>
                    <w:tcW w:w="3207" w:type="dxa"/>
                    <w:shd w:val="clear" w:color="auto" w:fill="auto"/>
                  </w:tcPr>
                  <w:p>
                    <w:pPr>
                      <w:pStyle w:val="76"/>
                      <w:jc w:val="center"/>
                    </w:pPr>
                    <w:r>
                      <w:rPr>
                        <w:rFonts w:hint="eastAsia"/>
                      </w:rPr>
                      <w:t>期初余额</w:t>
                    </w:r>
                  </w:p>
                </w:tc>
              </w:sdtContent>
            </w:sdt>
          </w:tr>
          <w:sdt>
            <w:sdtPr>
              <w:alias w:val="固定资产清理明细"/>
              <w:tag w:val="_GBC_f2a072a066774531bcac9187ea76157d"/>
              <w:id w:val="25154912"/>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65" w:type="dxa"/>
                    <w:shd w:val="clear" w:color="auto" w:fill="auto"/>
                  </w:tcPr>
                  <w:p>
                    <w:pPr>
                      <w:pStyle w:val="76"/>
                    </w:pPr>
                    <w:r>
                      <w:rPr>
                        <w:rFonts w:hint="eastAsia"/>
                      </w:rPr>
                      <w:t>房屋建筑物</w:t>
                    </w:r>
                  </w:p>
                </w:tc>
                <w:tc>
                  <w:tcPr>
                    <w:tcW w:w="3221" w:type="dxa"/>
                    <w:shd w:val="clear" w:color="auto" w:fill="auto"/>
                  </w:tcPr>
                  <w:p>
                    <w:pPr>
                      <w:pStyle w:val="76"/>
                      <w:jc w:val="right"/>
                    </w:pPr>
                    <w:r>
                      <w:t>-2,338,747.38</w:t>
                    </w:r>
                  </w:p>
                </w:tc>
                <w:tc>
                  <w:tcPr>
                    <w:tcW w:w="3207" w:type="dxa"/>
                    <w:shd w:val="clear" w:color="auto" w:fill="auto"/>
                  </w:tcPr>
                  <w:p>
                    <w:pPr>
                      <w:pStyle w:val="76"/>
                      <w:jc w:val="right"/>
                    </w:pPr>
                  </w:p>
                </w:tc>
              </w:tr>
            </w:sdtContent>
          </w:sdt>
          <w:sdt>
            <w:sdtPr>
              <w:alias w:val="固定资产清理明细"/>
              <w:tag w:val="_GBC_f2a072a066774531bcac9187ea76157d"/>
              <w:id w:val="2515491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65" w:type="dxa"/>
                    <w:shd w:val="clear" w:color="auto" w:fill="auto"/>
                  </w:tcPr>
                  <w:p>
                    <w:pPr>
                      <w:pStyle w:val="76"/>
                    </w:pPr>
                    <w:r>
                      <w:rPr>
                        <w:rFonts w:hint="eastAsia"/>
                      </w:rPr>
                      <w:t>设备</w:t>
                    </w:r>
                  </w:p>
                </w:tc>
                <w:tc>
                  <w:tcPr>
                    <w:tcW w:w="3221" w:type="dxa"/>
                    <w:shd w:val="clear" w:color="auto" w:fill="auto"/>
                  </w:tcPr>
                  <w:p>
                    <w:pPr>
                      <w:pStyle w:val="76"/>
                      <w:jc w:val="right"/>
                    </w:pPr>
                    <w:r>
                      <w:t>-72,890.92</w:t>
                    </w:r>
                  </w:p>
                </w:tc>
                <w:tc>
                  <w:tcPr>
                    <w:tcW w:w="3207" w:type="dxa"/>
                    <w:shd w:val="clear" w:color="auto" w:fill="auto"/>
                  </w:tcPr>
                  <w:p>
                    <w:pPr>
                      <w:pStyle w:val="76"/>
                      <w:jc w:val="right"/>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6b9c51fb7cb841b183f996903d83ba40"/>
                <w:id w:val="25154914"/>
                <w:lock w:val="sdtLocked"/>
              </w:sdtPr>
              <w:sdtContent>
                <w:tc>
                  <w:tcPr>
                    <w:tcW w:w="2465" w:type="dxa"/>
                    <w:shd w:val="clear" w:color="auto" w:fill="auto"/>
                    <w:vAlign w:val="center"/>
                  </w:tcPr>
                  <w:p>
                    <w:pPr>
                      <w:pStyle w:val="76"/>
                      <w:jc w:val="center"/>
                    </w:pPr>
                    <w:r>
                      <w:rPr>
                        <w:rFonts w:hint="eastAsia"/>
                      </w:rPr>
                      <w:t>合计</w:t>
                    </w:r>
                  </w:p>
                </w:tc>
              </w:sdtContent>
            </w:sdt>
            <w:tc>
              <w:tcPr>
                <w:tcW w:w="3221" w:type="dxa"/>
                <w:shd w:val="clear" w:color="auto" w:fill="auto"/>
              </w:tcPr>
              <w:p>
                <w:pPr>
                  <w:pStyle w:val="76"/>
                  <w:jc w:val="right"/>
                </w:pPr>
                <w:r>
                  <w:t>-2,411,638.30</w:t>
                </w:r>
              </w:p>
            </w:tc>
            <w:tc>
              <w:tcPr>
                <w:tcW w:w="3207" w:type="dxa"/>
                <w:shd w:val="clear" w:color="auto" w:fill="auto"/>
              </w:tcPr>
              <w:p>
                <w:pPr>
                  <w:pStyle w:val="76"/>
                  <w:jc w:val="right"/>
                </w:pPr>
              </w:p>
            </w:tc>
          </w:tr>
        </w:tbl>
        <w:p>
          <w:pPr>
            <w:pStyle w:val="76"/>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生产性生物资产</w:t>
      </w:r>
    </w:p>
    <w:sdt>
      <w:sdtPr>
        <w:rPr>
          <w:rFonts w:hint="eastAsia" w:ascii="宋体" w:hAnsi="宋体" w:cstheme="minorBidi"/>
          <w:b w:val="0"/>
          <w:bCs w:val="0"/>
          <w:kern w:val="0"/>
          <w:szCs w:val="21"/>
        </w:rPr>
        <w:alias w:val="模块:采用成成本计量模式的生产性生物资产"/>
        <w:tag w:val="_GBC_e4aea5da03534f61818766a33b5ada09"/>
        <w:id w:val="25154918"/>
        <w:lock w:val="sdtLocked"/>
        <w:placeholder>
          <w:docPart w:val="GBC22222222222222222222222222222"/>
        </w:placeholder>
      </w:sdtPr>
      <w:sdtEndPr>
        <w:rPr>
          <w:rFonts w:hint="default" w:ascii="宋体" w:hAnsi="宋体" w:cstheme="minorBidi"/>
          <w:b w:val="0"/>
          <w:bCs w:val="0"/>
          <w:kern w:val="2"/>
          <w:szCs w:val="21"/>
        </w:rPr>
      </w:sdtEndPr>
      <w:sdtContent>
        <w:p>
          <w:pPr>
            <w:pStyle w:val="80"/>
            <w:numPr>
              <w:ilvl w:val="0"/>
              <w:numId w:val="59"/>
            </w:numPr>
            <w:tabs>
              <w:tab w:val="left" w:pos="602"/>
              <w:tab w:val="left" w:pos="798"/>
            </w:tabs>
            <w:rPr>
              <w:rFonts w:ascii="宋体" w:hAnsi="宋体"/>
              <w:kern w:val="0"/>
              <w:szCs w:val="21"/>
            </w:rPr>
          </w:pPr>
          <w:r>
            <w:rPr>
              <w:rFonts w:hint="eastAsia" w:ascii="宋体" w:hAnsi="宋体"/>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25154917"/>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ascii="宋体" w:hAnsi="宋体" w:cstheme="minorBidi"/>
          <w:b w:val="0"/>
          <w:bCs w:val="0"/>
          <w:kern w:val="0"/>
          <w:szCs w:val="21"/>
        </w:rPr>
        <w:alias w:val="模块:采用公允价值计量模式的生产性生物资产"/>
        <w:tag w:val="_GBC_c6f2d306944241a8a32f51421c437b66"/>
        <w:id w:val="25154920"/>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80"/>
            <w:numPr>
              <w:ilvl w:val="0"/>
              <w:numId w:val="59"/>
            </w:numPr>
            <w:tabs>
              <w:tab w:val="left" w:pos="602"/>
              <w:tab w:val="left" w:pos="798"/>
            </w:tabs>
            <w:rPr>
              <w:rFonts w:ascii="宋体" w:hAnsi="宋体"/>
              <w:kern w:val="0"/>
              <w:szCs w:val="21"/>
            </w:rPr>
          </w:pPr>
          <w:r>
            <w:rPr>
              <w:rFonts w:hint="eastAsia" w:ascii="宋体" w:hAnsi="宋体"/>
              <w:kern w:val="0"/>
              <w:szCs w:val="21"/>
            </w:rPr>
            <w:t>采用公允价值计量模式的生产性生物资产</w:t>
          </w:r>
        </w:p>
        <w:sdt>
          <w:sdtPr>
            <w:rPr>
              <w:szCs w:val="21"/>
            </w:rPr>
            <w:alias w:val="是否适用：财务附注：以公允价值计量的生产性生物资产[双击切换]"/>
            <w:tag w:val="_GBC_3a67921e606f4abca6478a1ffb759394"/>
            <w:id w:val="25154919"/>
            <w:lock w:val="sdtContentLocked"/>
            <w:placeholder>
              <w:docPart w:val="GBC22222222222222222222222222222"/>
            </w:placeholder>
          </w:sdtPr>
          <w:sdtEndPr>
            <w:rPr>
              <w:szCs w:val="21"/>
            </w:rPr>
          </w:sdtEndPr>
          <w:sdtContent>
            <w:p>
              <w:pPr>
                <w:pStyle w:val="76"/>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25154922"/>
        <w:lock w:val="sdtLocked"/>
        <w:placeholder>
          <w:docPart w:val="GBC22222222222222222222222222222"/>
        </w:placeholder>
      </w:sdtPr>
      <w:sdtEndPr>
        <w:rPr>
          <w:rFonts w:hint="default"/>
          <w:szCs w:val="21"/>
        </w:rPr>
      </w:sdtEndPr>
      <w:sdtContent>
        <w:p>
          <w:pPr>
            <w:pStyle w:val="76"/>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25154921"/>
            <w:lock w:val="sdtContentLocked"/>
            <w:placeholder>
              <w:docPart w:val="GBC22222222222222222222222222222"/>
            </w:placeholder>
          </w:sdtPr>
          <w:sdtEndPr>
            <w:rPr>
              <w:szCs w:val="21"/>
            </w:rPr>
          </w:sdtEndPr>
          <w:sdtContent>
            <w:p>
              <w:pPr>
                <w:pStyle w:val="76"/>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宋体" w:hAnsi="宋体" w:cs="宋体"/>
          <w:b w:val="0"/>
          <w:bCs w:val="0"/>
          <w:kern w:val="0"/>
          <w:szCs w:val="21"/>
        </w:rPr>
        <w:alias w:val="模块:油气资产"/>
        <w:tag w:val="_GBC_fe60430654f541aab1da59bd08202085"/>
        <w:id w:val="25154924"/>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油气资产</w:t>
          </w:r>
        </w:p>
        <w:sdt>
          <w:sdtPr>
            <w:alias w:val="是否适用：油气资产[双击切换]"/>
            <w:tag w:val="_GBC_7dce41817eb749dba0d132424020d250"/>
            <w:id w:val="2515492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autoSpaceDE w:val="0"/>
            <w:autoSpaceDN w:val="0"/>
            <w:adjustRightInd w:val="0"/>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无形资产</w:t>
      </w:r>
    </w:p>
    <w:p>
      <w:pPr>
        <w:pStyle w:val="80"/>
        <w:numPr>
          <w:ilvl w:val="0"/>
          <w:numId w:val="60"/>
        </w:numPr>
        <w:tabs>
          <w:tab w:val="left" w:pos="602"/>
        </w:tabs>
        <w:rPr>
          <w:rFonts w:ascii="宋体" w:hAnsi="宋体"/>
          <w:szCs w:val="21"/>
        </w:rPr>
      </w:pPr>
      <w:r>
        <w:rPr>
          <w:rFonts w:hint="eastAsia" w:ascii="宋体" w:hAnsi="宋体"/>
          <w:szCs w:val="21"/>
        </w:rPr>
        <w:t>无形资产情况</w:t>
      </w:r>
    </w:p>
    <w:p>
      <w:pPr>
        <w:pStyle w:val="76"/>
      </w:pPr>
      <w:sdt>
        <w:sdtPr>
          <w:rPr>
            <w:rFonts w:hint="eastAsia"/>
          </w:rPr>
          <w:alias w:val="是否适用：无形资产情况[双击切换]"/>
          <w:tag w:val="_GBC_0882d05501f84259b91efc5f2eae98cf"/>
          <w:id w:val="25154925"/>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25154955"/>
        <w:lock w:val="sdtLocked"/>
        <w:placeholder>
          <w:docPart w:val="GBC22222222222222222222222222222"/>
        </w:placeholder>
      </w:sdtPr>
      <w:sdtEndPr>
        <w:rPr>
          <w:rFonts w:hint="default"/>
          <w:b w:val="0"/>
          <w:bCs w:val="0"/>
          <w:szCs w:val="21"/>
        </w:rPr>
      </w:sdtEndPr>
      <w:sdtContent>
        <w:p>
          <w:pPr>
            <w:pStyle w:val="76"/>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251549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251549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3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327"/>
            <w:gridCol w:w="1328"/>
            <w:gridCol w:w="1283"/>
            <w:gridCol w:w="158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16e062da10ef4301a1526b8633f88a31"/>
                <w:id w:val="25154928"/>
                <w:lock w:val="sdtLocked"/>
              </w:sdtPr>
              <w:sdtEndPr>
                <w:rPr>
                  <w:sz w:val="18"/>
                  <w:szCs w:val="18"/>
                </w:rPr>
              </w:sdtEndPr>
              <w:sdtContent>
                <w:tc>
                  <w:tcPr>
                    <w:tcW w:w="2270" w:type="dxa"/>
                    <w:shd w:val="clear" w:color="auto" w:fill="auto"/>
                    <w:vAlign w:val="center"/>
                  </w:tcPr>
                  <w:p>
                    <w:pPr>
                      <w:pStyle w:val="76"/>
                      <w:jc w:val="center"/>
                      <w:rPr>
                        <w:sz w:val="18"/>
                        <w:szCs w:val="18"/>
                      </w:rPr>
                    </w:pPr>
                    <w:r>
                      <w:rPr>
                        <w:rFonts w:hint="eastAsia"/>
                        <w:sz w:val="18"/>
                        <w:szCs w:val="18"/>
                      </w:rPr>
                      <w:t>项目</w:t>
                    </w:r>
                  </w:p>
                </w:tc>
              </w:sdtContent>
            </w:sdt>
            <w:sdt>
              <w:sdtPr>
                <w:rPr>
                  <w:sz w:val="18"/>
                  <w:szCs w:val="18"/>
                </w:rPr>
                <w:tag w:val="_PLD_8b465b50cb10415c8931fdb66ee29ca3"/>
                <w:id w:val="25154929"/>
                <w:lock w:val="sdtLocked"/>
              </w:sdtPr>
              <w:sdtEndPr>
                <w:rPr>
                  <w:sz w:val="18"/>
                  <w:szCs w:val="18"/>
                </w:rPr>
              </w:sdtEndPr>
              <w:sdtContent>
                <w:tc>
                  <w:tcPr>
                    <w:tcW w:w="1327" w:type="dxa"/>
                    <w:shd w:val="clear" w:color="auto" w:fill="auto"/>
                    <w:vAlign w:val="center"/>
                  </w:tcPr>
                  <w:p>
                    <w:pPr>
                      <w:pStyle w:val="76"/>
                      <w:jc w:val="center"/>
                      <w:rPr>
                        <w:sz w:val="18"/>
                        <w:szCs w:val="18"/>
                      </w:rPr>
                    </w:pPr>
                    <w:r>
                      <w:rPr>
                        <w:rFonts w:hint="eastAsia"/>
                        <w:sz w:val="18"/>
                        <w:szCs w:val="18"/>
                      </w:rPr>
                      <w:t>土地使用权</w:t>
                    </w:r>
                  </w:p>
                </w:tc>
              </w:sdtContent>
            </w:sdt>
            <w:sdt>
              <w:sdtPr>
                <w:rPr>
                  <w:sz w:val="18"/>
                  <w:szCs w:val="18"/>
                </w:rPr>
                <w:tag w:val="_PLD_55a0c34977f7438f8a4e60b2ec43e654"/>
                <w:id w:val="25154930"/>
                <w:lock w:val="sdtLocked"/>
              </w:sdtPr>
              <w:sdtEndPr>
                <w:rPr>
                  <w:sz w:val="18"/>
                  <w:szCs w:val="18"/>
                </w:rPr>
              </w:sdtEndPr>
              <w:sdtContent>
                <w:tc>
                  <w:tcPr>
                    <w:tcW w:w="1328" w:type="dxa"/>
                    <w:shd w:val="clear" w:color="auto" w:fill="auto"/>
                    <w:vAlign w:val="center"/>
                  </w:tcPr>
                  <w:p>
                    <w:pPr>
                      <w:pStyle w:val="76"/>
                      <w:jc w:val="center"/>
                      <w:rPr>
                        <w:sz w:val="18"/>
                        <w:szCs w:val="18"/>
                      </w:rPr>
                    </w:pPr>
                    <w:r>
                      <w:rPr>
                        <w:rFonts w:hint="eastAsia"/>
                        <w:sz w:val="18"/>
                        <w:szCs w:val="18"/>
                      </w:rPr>
                      <w:t>专利权</w:t>
                    </w:r>
                  </w:p>
                </w:tc>
              </w:sdtContent>
            </w:sdt>
            <w:sdt>
              <w:sdtPr>
                <w:rPr>
                  <w:sz w:val="18"/>
                  <w:szCs w:val="18"/>
                </w:rPr>
                <w:tag w:val="_PLD_624f8e9465f646f5a305cf5fc59a830c"/>
                <w:id w:val="25154931"/>
                <w:lock w:val="sdtLocked"/>
              </w:sdtPr>
              <w:sdtEndPr>
                <w:rPr>
                  <w:sz w:val="18"/>
                  <w:szCs w:val="18"/>
                </w:rPr>
              </w:sdtEndPr>
              <w:sdtContent>
                <w:tc>
                  <w:tcPr>
                    <w:tcW w:w="1283" w:type="dxa"/>
                    <w:shd w:val="clear" w:color="auto" w:fill="auto"/>
                    <w:vAlign w:val="center"/>
                  </w:tcPr>
                  <w:p>
                    <w:pPr>
                      <w:pStyle w:val="76"/>
                      <w:jc w:val="center"/>
                      <w:rPr>
                        <w:sz w:val="18"/>
                        <w:szCs w:val="18"/>
                      </w:rPr>
                    </w:pPr>
                    <w:r>
                      <w:rPr>
                        <w:rFonts w:hint="eastAsia"/>
                        <w:sz w:val="18"/>
                        <w:szCs w:val="18"/>
                      </w:rPr>
                      <w:t>非专利技术</w:t>
                    </w:r>
                  </w:p>
                </w:tc>
              </w:sdtContent>
            </w:sdt>
            <w:sdt>
              <w:sdtPr>
                <w:rPr>
                  <w:sz w:val="18"/>
                  <w:szCs w:val="18"/>
                </w:rPr>
                <w:alias w:val="无形资产明细－项目"/>
                <w:tag w:val="_GBC_ee2531f58c0a420e83919cd1efe46139"/>
                <w:id w:val="25154932"/>
                <w:lock w:val="sdtLocked"/>
              </w:sdtPr>
              <w:sdtEndPr>
                <w:rPr>
                  <w:rFonts w:hint="eastAsia"/>
                  <w:sz w:val="18"/>
                  <w:szCs w:val="18"/>
                </w:rPr>
              </w:sdtEndPr>
              <w:sdtContent>
                <w:tc>
                  <w:tcPr>
                    <w:tcW w:w="1581" w:type="dxa"/>
                    <w:shd w:val="clear" w:color="auto" w:fill="auto"/>
                    <w:vAlign w:val="center"/>
                  </w:tcPr>
                  <w:p>
                    <w:pPr>
                      <w:pStyle w:val="76"/>
                      <w:jc w:val="center"/>
                      <w:rPr>
                        <w:sz w:val="18"/>
                        <w:szCs w:val="18"/>
                      </w:rPr>
                    </w:pPr>
                    <w:r>
                      <w:rPr>
                        <w:rFonts w:hint="eastAsia"/>
                        <w:sz w:val="18"/>
                        <w:szCs w:val="18"/>
                      </w:rPr>
                      <w:t>软件</w:t>
                    </w:r>
                  </w:p>
                </w:tc>
              </w:sdtContent>
            </w:sdt>
            <w:sdt>
              <w:sdtPr>
                <w:rPr>
                  <w:sz w:val="18"/>
                  <w:szCs w:val="18"/>
                </w:rPr>
                <w:tag w:val="_PLD_57620ddc57e34012a99d49f2280a99e2"/>
                <w:id w:val="25154933"/>
                <w:lock w:val="sdtLocked"/>
              </w:sdtPr>
              <w:sdtEndPr>
                <w:rPr>
                  <w:sz w:val="18"/>
                  <w:szCs w:val="18"/>
                </w:rPr>
              </w:sdtEndPr>
              <w:sdtContent>
                <w:tc>
                  <w:tcPr>
                    <w:tcW w:w="1579" w:type="dxa"/>
                    <w:shd w:val="clear" w:color="auto" w:fill="auto"/>
                    <w:vAlign w:val="center"/>
                  </w:tcPr>
                  <w:p>
                    <w:pPr>
                      <w:pStyle w:val="76"/>
                      <w:jc w:val="center"/>
                      <w:rPr>
                        <w:sz w:val="18"/>
                        <w:szCs w:val="18"/>
                      </w:rPr>
                    </w:pPr>
                    <w:r>
                      <w:rPr>
                        <w:sz w:val="18"/>
                        <w:szCs w:val="18"/>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97ce5956782c457c89e9607c943b01d4"/>
                <w:id w:val="25154934"/>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一、</w:t>
                    </w:r>
                    <w:r>
                      <w:rPr>
                        <w:rFonts w:hint="eastAsia"/>
                        <w:sz w:val="18"/>
                        <w:szCs w:val="18"/>
                      </w:rPr>
                      <w:t>账面原值</w:t>
                    </w:r>
                  </w:p>
                </w:tc>
              </w:sdtContent>
            </w:sdt>
            <w:tc>
              <w:tcPr>
                <w:tcW w:w="1327" w:type="dxa"/>
                <w:shd w:val="clear" w:color="auto" w:fill="auto"/>
              </w:tcPr>
              <w:p>
                <w:pPr>
                  <w:pStyle w:val="76"/>
                  <w:rPr>
                    <w:sz w:val="18"/>
                    <w:szCs w:val="18"/>
                  </w:rPr>
                </w:pPr>
              </w:p>
            </w:tc>
            <w:tc>
              <w:tcPr>
                <w:tcW w:w="1328" w:type="dxa"/>
                <w:shd w:val="clear" w:color="auto" w:fill="auto"/>
              </w:tcPr>
              <w:p>
                <w:pPr>
                  <w:pStyle w:val="76"/>
                  <w:rPr>
                    <w:sz w:val="18"/>
                    <w:szCs w:val="18"/>
                  </w:rPr>
                </w:pPr>
              </w:p>
            </w:tc>
            <w:tc>
              <w:tcPr>
                <w:tcW w:w="1283" w:type="dxa"/>
                <w:shd w:val="clear" w:color="auto" w:fill="auto"/>
              </w:tcPr>
              <w:p>
                <w:pPr>
                  <w:pStyle w:val="76"/>
                  <w:rPr>
                    <w:sz w:val="18"/>
                    <w:szCs w:val="18"/>
                  </w:rPr>
                </w:pPr>
              </w:p>
            </w:tc>
            <w:tc>
              <w:tcPr>
                <w:tcW w:w="1581" w:type="dxa"/>
                <w:shd w:val="clear" w:color="auto" w:fill="auto"/>
              </w:tcPr>
              <w:p>
                <w:pPr>
                  <w:pStyle w:val="76"/>
                  <w:rPr>
                    <w:sz w:val="18"/>
                    <w:szCs w:val="18"/>
                  </w:rPr>
                </w:pPr>
              </w:p>
            </w:tc>
            <w:tc>
              <w:tcPr>
                <w:tcW w:w="1579" w:type="dxa"/>
                <w:shd w:val="clear" w:color="auto" w:fill="auto"/>
              </w:tcPr>
              <w:p>
                <w:pPr>
                  <w:pStyle w:val="76"/>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3ece69191bc64684a4f52dc219040125"/>
                <w:id w:val="25154935"/>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 xml:space="preserve">    1.</w:t>
                    </w:r>
                    <w:r>
                      <w:rPr>
                        <w:rFonts w:hint="eastAsia"/>
                        <w:sz w:val="18"/>
                        <w:szCs w:val="18"/>
                      </w:rPr>
                      <w:t>期</w:t>
                    </w:r>
                    <w:r>
                      <w:rPr>
                        <w:sz w:val="18"/>
                        <w:szCs w:val="18"/>
                      </w:rPr>
                      <w:t>初余额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12,720,991.81</w:t>
                </w:r>
              </w:p>
            </w:tc>
            <w:tc>
              <w:tcPr>
                <w:tcW w:w="1579" w:type="dxa"/>
                <w:shd w:val="clear" w:color="auto" w:fill="auto"/>
              </w:tcPr>
              <w:p>
                <w:pPr>
                  <w:pStyle w:val="76"/>
                  <w:jc w:val="right"/>
                  <w:rPr>
                    <w:sz w:val="18"/>
                    <w:szCs w:val="18"/>
                  </w:rPr>
                </w:pPr>
                <w:r>
                  <w:rPr>
                    <w:sz w:val="18"/>
                    <w:szCs w:val="18"/>
                  </w:rP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619b832ec5e340dc899fb93538a5459d"/>
                <w:id w:val="25154936"/>
                <w:lock w:val="sdtLocked"/>
              </w:sdtPr>
              <w:sdtEndPr>
                <w:rPr>
                  <w:sz w:val="18"/>
                  <w:szCs w:val="18"/>
                </w:rPr>
              </w:sdtEndPr>
              <w:sdtContent>
                <w:tc>
                  <w:tcPr>
                    <w:tcW w:w="2270" w:type="dxa"/>
                    <w:shd w:val="clear" w:color="auto" w:fill="auto"/>
                    <w:vAlign w:val="center"/>
                  </w:tcPr>
                  <w:p>
                    <w:pPr>
                      <w:pStyle w:val="76"/>
                      <w:ind w:firstLine="360" w:firstLineChars="200"/>
                      <w:rPr>
                        <w:sz w:val="18"/>
                        <w:szCs w:val="18"/>
                      </w:rPr>
                    </w:pPr>
                    <w:r>
                      <w:rPr>
                        <w:sz w:val="18"/>
                        <w:szCs w:val="18"/>
                      </w:rPr>
                      <w:t>2.本期增加</w:t>
                    </w:r>
                    <w:r>
                      <w:rPr>
                        <w:rFonts w:hint="eastAsia"/>
                        <w:sz w:val="18"/>
                        <w:szCs w:val="18"/>
                      </w:rPr>
                      <w:t>金额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90ef4a07fa3c4f969161b700396d9ac5"/>
                <w:id w:val="25154937"/>
                <w:lock w:val="sdtLocked"/>
              </w:sdtPr>
              <w:sdtEndPr>
                <w:rPr>
                  <w:sz w:val="18"/>
                  <w:szCs w:val="18"/>
                </w:rPr>
              </w:sdtEndPr>
              <w:sdtContent>
                <w:tc>
                  <w:tcPr>
                    <w:tcW w:w="2270" w:type="dxa"/>
                    <w:shd w:val="clear" w:color="auto" w:fill="auto"/>
                    <w:vAlign w:val="center"/>
                  </w:tcPr>
                  <w:p>
                    <w:pPr>
                      <w:pStyle w:val="76"/>
                      <w:ind w:firstLine="540" w:firstLineChars="300"/>
                      <w:rPr>
                        <w:sz w:val="18"/>
                        <w:szCs w:val="18"/>
                      </w:rPr>
                    </w:pPr>
                    <w:r>
                      <w:rPr>
                        <w:sz w:val="18"/>
                        <w:szCs w:val="18"/>
                      </w:rPr>
                      <w:t>(1)</w:t>
                    </w:r>
                    <w:r>
                      <w:rPr>
                        <w:rFonts w:hint="eastAsia"/>
                        <w:sz w:val="18"/>
                        <w:szCs w:val="18"/>
                      </w:rPr>
                      <w:t>购置</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fdfb103746a24d0281c1e921b5c8be79"/>
                <w:id w:val="25154938"/>
                <w:lock w:val="sdtLocked"/>
              </w:sdtPr>
              <w:sdtEndPr>
                <w:rPr>
                  <w:sz w:val="18"/>
                  <w:szCs w:val="18"/>
                </w:rPr>
              </w:sdtEndPr>
              <w:sdtContent>
                <w:tc>
                  <w:tcPr>
                    <w:tcW w:w="2270" w:type="dxa"/>
                    <w:shd w:val="clear" w:color="auto" w:fill="auto"/>
                    <w:vAlign w:val="center"/>
                  </w:tcPr>
                  <w:p>
                    <w:pPr>
                      <w:pStyle w:val="76"/>
                      <w:ind w:firstLine="540" w:firstLineChars="300"/>
                      <w:rPr>
                        <w:sz w:val="18"/>
                        <w:szCs w:val="18"/>
                      </w:rPr>
                    </w:pPr>
                    <w:r>
                      <w:rPr>
                        <w:rFonts w:hint="eastAsia"/>
                        <w:sz w:val="18"/>
                        <w:szCs w:val="18"/>
                      </w:rPr>
                      <w:t>(</w:t>
                    </w:r>
                    <w:r>
                      <w:rPr>
                        <w:sz w:val="18"/>
                        <w:szCs w:val="18"/>
                      </w:rPr>
                      <w:t>2)</w:t>
                    </w:r>
                    <w:r>
                      <w:rPr>
                        <w:rFonts w:hint="eastAsia"/>
                        <w:sz w:val="18"/>
                        <w:szCs w:val="18"/>
                      </w:rPr>
                      <w:t>内部研发</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p>
                <w:pPr>
                  <w:pStyle w:val="76"/>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a843f8687ca145b0abf8bd1ef13c7d8f"/>
                <w:id w:val="25154939"/>
                <w:lock w:val="sdtLocked"/>
              </w:sdtPr>
              <w:sdtEndPr>
                <w:rPr>
                  <w:sz w:val="18"/>
                  <w:szCs w:val="18"/>
                </w:rPr>
              </w:sdtEndPr>
              <w:sdtContent>
                <w:tc>
                  <w:tcPr>
                    <w:tcW w:w="2270" w:type="dxa"/>
                    <w:shd w:val="clear" w:color="auto" w:fill="auto"/>
                  </w:tcPr>
                  <w:p>
                    <w:pPr>
                      <w:pStyle w:val="76"/>
                      <w:ind w:firstLine="540" w:firstLineChars="300"/>
                      <w:rPr>
                        <w:sz w:val="18"/>
                        <w:szCs w:val="18"/>
                      </w:rPr>
                    </w:pPr>
                    <w:r>
                      <w:rPr>
                        <w:rFonts w:hint="eastAsia"/>
                        <w:sz w:val="18"/>
                        <w:szCs w:val="18"/>
                      </w:rPr>
                      <w:t>(</w:t>
                    </w:r>
                    <w:r>
                      <w:rPr>
                        <w:sz w:val="18"/>
                        <w:szCs w:val="18"/>
                      </w:rPr>
                      <w:t>3</w:t>
                    </w:r>
                    <w:r>
                      <w:rPr>
                        <w:rFonts w:hint="eastAsia"/>
                        <w:sz w:val="18"/>
                        <w:szCs w:val="18"/>
                      </w:rPr>
                      <w:t>)企</w:t>
                    </w:r>
                    <w:r>
                      <w:rPr>
                        <w:sz w:val="18"/>
                        <w:szCs w:val="18"/>
                      </w:rPr>
                      <w:t>业合并增加</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e2ff397d9d9a4a48baa098333a2effda"/>
                <w:id w:val="25154940"/>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 xml:space="preserve">    3.本期减少</w:t>
                    </w:r>
                    <w:r>
                      <w:rPr>
                        <w:rFonts w:hint="eastAsia"/>
                        <w:sz w:val="18"/>
                        <w:szCs w:val="18"/>
                      </w:rPr>
                      <w:t>金额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01039cac859c46279f030f4ef8891ef8"/>
                <w:id w:val="25154941"/>
                <w:lock w:val="sdtLocked"/>
              </w:sdtPr>
              <w:sdtEndPr>
                <w:rPr>
                  <w:sz w:val="18"/>
                  <w:szCs w:val="18"/>
                </w:rPr>
              </w:sdtEndPr>
              <w:sdtContent>
                <w:tc>
                  <w:tcPr>
                    <w:tcW w:w="2270" w:type="dxa"/>
                    <w:shd w:val="clear" w:color="auto" w:fill="auto"/>
                    <w:vAlign w:val="center"/>
                  </w:tcPr>
                  <w:p>
                    <w:pPr>
                      <w:pStyle w:val="76"/>
                      <w:ind w:firstLine="540" w:firstLineChars="300"/>
                      <w:rPr>
                        <w:sz w:val="18"/>
                        <w:szCs w:val="18"/>
                      </w:rPr>
                    </w:pPr>
                    <w:r>
                      <w:rPr>
                        <w:sz w:val="18"/>
                        <w:szCs w:val="18"/>
                      </w:rPr>
                      <w:t>(</w:t>
                    </w:r>
                    <w:r>
                      <w:rPr>
                        <w:rFonts w:hint="eastAsia"/>
                        <w:sz w:val="18"/>
                        <w:szCs w:val="18"/>
                      </w:rPr>
                      <w:t>1</w:t>
                    </w:r>
                    <w:r>
                      <w:rPr>
                        <w:sz w:val="18"/>
                        <w:szCs w:val="18"/>
                      </w:rPr>
                      <w:t>)</w:t>
                    </w:r>
                    <w:r>
                      <w:rPr>
                        <w:rFonts w:hint="eastAsia"/>
                        <w:sz w:val="18"/>
                        <w:szCs w:val="18"/>
                      </w:rPr>
                      <w:t>处置</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4f7e6faa1a2a40ff9644db9d2bcd8070"/>
                <w:id w:val="25154942"/>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 xml:space="preserve">   4.期末余额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12,720,991.81</w:t>
                </w:r>
              </w:p>
            </w:tc>
            <w:tc>
              <w:tcPr>
                <w:tcW w:w="1579" w:type="dxa"/>
                <w:shd w:val="clear" w:color="auto" w:fill="auto"/>
              </w:tcPr>
              <w:p>
                <w:pPr>
                  <w:pStyle w:val="76"/>
                  <w:jc w:val="right"/>
                  <w:rPr>
                    <w:sz w:val="18"/>
                    <w:szCs w:val="18"/>
                  </w:rPr>
                </w:pPr>
                <w:r>
                  <w:rPr>
                    <w:sz w:val="18"/>
                    <w:szCs w:val="18"/>
                  </w:rP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3d92ef615d3b41e5abb58e018e2db72b"/>
                <w:id w:val="25154943"/>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二、累计</w:t>
                    </w:r>
                    <w:r>
                      <w:rPr>
                        <w:rFonts w:hint="eastAsia"/>
                        <w:sz w:val="18"/>
                        <w:szCs w:val="18"/>
                      </w:rPr>
                      <w:t>摊销</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 </w:t>
                </w:r>
              </w:p>
            </w:tc>
            <w:tc>
              <w:tcPr>
                <w:tcW w:w="1579" w:type="dxa"/>
                <w:shd w:val="clear" w:color="auto" w:fill="auto"/>
              </w:tcPr>
              <w:p>
                <w:pPr>
                  <w:pStyle w:val="76"/>
                  <w:jc w:val="right"/>
                  <w:rPr>
                    <w:sz w:val="18"/>
                    <w:szCs w:val="18"/>
                  </w:rPr>
                </w:pPr>
                <w:r>
                  <w:rPr>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193e5febfa90446ca630ebb42ca96e06"/>
                <w:id w:val="25154944"/>
                <w:lock w:val="sdtLocked"/>
              </w:sdtPr>
              <w:sdtEndPr>
                <w:rPr>
                  <w:sz w:val="18"/>
                  <w:szCs w:val="18"/>
                </w:rPr>
              </w:sdtEndPr>
              <w:sdtContent>
                <w:tc>
                  <w:tcPr>
                    <w:tcW w:w="2270" w:type="dxa"/>
                    <w:shd w:val="clear" w:color="auto" w:fill="auto"/>
                    <w:vAlign w:val="center"/>
                  </w:tcPr>
                  <w:p>
                    <w:pPr>
                      <w:pStyle w:val="76"/>
                      <w:ind w:firstLine="360" w:firstLineChars="200"/>
                      <w:rPr>
                        <w:sz w:val="18"/>
                        <w:szCs w:val="18"/>
                      </w:rPr>
                    </w:pPr>
                    <w:r>
                      <w:rPr>
                        <w:rFonts w:hint="eastAsia"/>
                        <w:sz w:val="18"/>
                        <w:szCs w:val="18"/>
                      </w:rPr>
                      <w:t>1.期</w:t>
                    </w:r>
                    <w:r>
                      <w:rPr>
                        <w:sz w:val="18"/>
                        <w:szCs w:val="18"/>
                      </w:rPr>
                      <w:t>初余额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1,475,782.43</w:t>
                </w:r>
              </w:p>
            </w:tc>
            <w:tc>
              <w:tcPr>
                <w:tcW w:w="1579" w:type="dxa"/>
                <w:shd w:val="clear" w:color="auto" w:fill="auto"/>
              </w:tcPr>
              <w:p>
                <w:pPr>
                  <w:pStyle w:val="76"/>
                  <w:jc w:val="right"/>
                  <w:rPr>
                    <w:sz w:val="18"/>
                    <w:szCs w:val="18"/>
                  </w:rPr>
                </w:pPr>
                <w:r>
                  <w:rPr>
                    <w:sz w:val="18"/>
                    <w:szCs w:val="18"/>
                  </w:rPr>
                  <w:t>1,475,782.43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1002de94b721483c99b3b05a42a37601"/>
                <w:id w:val="25154945"/>
                <w:lock w:val="sdtLocked"/>
              </w:sdtPr>
              <w:sdtEndPr>
                <w:rPr>
                  <w:sz w:val="18"/>
                  <w:szCs w:val="18"/>
                </w:rPr>
              </w:sdtEndPr>
              <w:sdtContent>
                <w:tc>
                  <w:tcPr>
                    <w:tcW w:w="2270" w:type="dxa"/>
                    <w:shd w:val="clear" w:color="auto" w:fill="auto"/>
                    <w:vAlign w:val="center"/>
                  </w:tcPr>
                  <w:p>
                    <w:pPr>
                      <w:pStyle w:val="76"/>
                      <w:ind w:firstLine="360" w:firstLineChars="200"/>
                      <w:rPr>
                        <w:sz w:val="18"/>
                        <w:szCs w:val="18"/>
                      </w:rPr>
                    </w:pPr>
                    <w:r>
                      <w:rPr>
                        <w:sz w:val="18"/>
                        <w:szCs w:val="18"/>
                      </w:rPr>
                      <w:t>2.本期增加</w:t>
                    </w:r>
                    <w:r>
                      <w:rPr>
                        <w:rFonts w:hint="eastAsia"/>
                        <w:sz w:val="18"/>
                        <w:szCs w:val="18"/>
                      </w:rPr>
                      <w:t>金额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1,272,099.24</w:t>
                </w:r>
              </w:p>
            </w:tc>
            <w:tc>
              <w:tcPr>
                <w:tcW w:w="1579" w:type="dxa"/>
                <w:shd w:val="clear" w:color="auto" w:fill="auto"/>
              </w:tcPr>
              <w:p>
                <w:pPr>
                  <w:pStyle w:val="76"/>
                  <w:jc w:val="right"/>
                  <w:rPr>
                    <w:sz w:val="18"/>
                    <w:szCs w:val="18"/>
                  </w:rPr>
                </w:pPr>
                <w:r>
                  <w:rPr>
                    <w:sz w:val="18"/>
                    <w:szCs w:val="18"/>
                  </w:rPr>
                  <w:t>1,272,099.24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8a3c7c560c054537b4caae539fe46c59"/>
                <w:id w:val="25154946"/>
                <w:lock w:val="sdtLocked"/>
              </w:sdtPr>
              <w:sdtEndPr>
                <w:rPr>
                  <w:sz w:val="18"/>
                  <w:szCs w:val="18"/>
                </w:rPr>
              </w:sdtEndPr>
              <w:sdtContent>
                <w:tc>
                  <w:tcPr>
                    <w:tcW w:w="2270" w:type="dxa"/>
                    <w:shd w:val="clear" w:color="auto" w:fill="auto"/>
                    <w:vAlign w:val="center"/>
                  </w:tcPr>
                  <w:p>
                    <w:pPr>
                      <w:pStyle w:val="76"/>
                      <w:ind w:firstLine="540" w:firstLineChars="300"/>
                      <w:rPr>
                        <w:sz w:val="18"/>
                        <w:szCs w:val="18"/>
                      </w:rPr>
                    </w:pPr>
                    <w:r>
                      <w:rPr>
                        <w:rFonts w:hint="eastAsia"/>
                        <w:sz w:val="18"/>
                        <w:szCs w:val="18"/>
                      </w:rPr>
                      <w:t>（1）</w:t>
                    </w:r>
                    <w:r>
                      <w:rPr>
                        <w:sz w:val="18"/>
                        <w:szCs w:val="18"/>
                      </w:rPr>
                      <w:t>计提</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1,272,099.24</w:t>
                </w:r>
              </w:p>
            </w:tc>
            <w:tc>
              <w:tcPr>
                <w:tcW w:w="1579" w:type="dxa"/>
                <w:shd w:val="clear" w:color="auto" w:fill="auto"/>
              </w:tcPr>
              <w:p>
                <w:pPr>
                  <w:pStyle w:val="76"/>
                  <w:jc w:val="right"/>
                  <w:rPr>
                    <w:sz w:val="18"/>
                    <w:szCs w:val="18"/>
                  </w:rPr>
                </w:pPr>
                <w:r>
                  <w:rPr>
                    <w:sz w:val="18"/>
                    <w:szCs w:val="18"/>
                  </w:rPr>
                  <w:t>1,272,099.24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915cb31bb4224f868e630c1166a0d717"/>
                <w:id w:val="25154947"/>
                <w:lock w:val="sdtLocked"/>
              </w:sdtPr>
              <w:sdtEndPr>
                <w:rPr>
                  <w:sz w:val="18"/>
                  <w:szCs w:val="18"/>
                </w:rPr>
              </w:sdtEndPr>
              <w:sdtContent>
                <w:tc>
                  <w:tcPr>
                    <w:tcW w:w="2270" w:type="dxa"/>
                    <w:shd w:val="clear" w:color="auto" w:fill="auto"/>
                    <w:vAlign w:val="center"/>
                  </w:tcPr>
                  <w:p>
                    <w:pPr>
                      <w:pStyle w:val="76"/>
                      <w:ind w:firstLine="360" w:firstLineChars="200"/>
                      <w:rPr>
                        <w:sz w:val="18"/>
                        <w:szCs w:val="18"/>
                      </w:rPr>
                    </w:pPr>
                    <w:r>
                      <w:rPr>
                        <w:rFonts w:hint="eastAsia"/>
                        <w:sz w:val="18"/>
                        <w:szCs w:val="18"/>
                      </w:rPr>
                      <w:t>3.</w:t>
                    </w:r>
                    <w:r>
                      <w:rPr>
                        <w:sz w:val="18"/>
                        <w:szCs w:val="18"/>
                      </w:rPr>
                      <w:t>本期减少</w:t>
                    </w:r>
                    <w:r>
                      <w:rPr>
                        <w:rFonts w:hint="eastAsia"/>
                        <w:sz w:val="18"/>
                        <w:szCs w:val="18"/>
                      </w:rPr>
                      <w:t>金额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0d3cdfa6a81e4a8ab3796288b6ac246d"/>
                <w:id w:val="25154948"/>
                <w:lock w:val="sdtLocked"/>
              </w:sdtPr>
              <w:sdtEndPr>
                <w:rPr>
                  <w:sz w:val="18"/>
                  <w:szCs w:val="18"/>
                </w:rPr>
              </w:sdtEndPr>
              <w:sdtContent>
                <w:tc>
                  <w:tcPr>
                    <w:tcW w:w="2270" w:type="dxa"/>
                    <w:shd w:val="clear" w:color="auto" w:fill="auto"/>
                    <w:vAlign w:val="center"/>
                  </w:tcPr>
                  <w:p>
                    <w:pPr>
                      <w:pStyle w:val="76"/>
                      <w:ind w:firstLine="540" w:firstLineChars="300"/>
                      <w:rPr>
                        <w:sz w:val="18"/>
                        <w:szCs w:val="18"/>
                      </w:rPr>
                    </w:pPr>
                    <w:r>
                      <w:rPr>
                        <w:sz w:val="18"/>
                        <w:szCs w:val="18"/>
                      </w:rPr>
                      <w:t xml:space="preserve"> (</w:t>
                    </w:r>
                    <w:r>
                      <w:rPr>
                        <w:rFonts w:hint="eastAsia"/>
                        <w:sz w:val="18"/>
                        <w:szCs w:val="18"/>
                      </w:rPr>
                      <w:t>1</w:t>
                    </w:r>
                    <w:r>
                      <w:rPr>
                        <w:sz w:val="18"/>
                        <w:szCs w:val="18"/>
                      </w:rPr>
                      <w:t>)</w:t>
                    </w:r>
                    <w:r>
                      <w:rPr>
                        <w:rFonts w:hint="eastAsia"/>
                        <w:sz w:val="18"/>
                        <w:szCs w:val="18"/>
                      </w:rPr>
                      <w:t>处置</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6b52e77de021464b99b9a2d55cb6dc5b"/>
                <w:id w:val="25154949"/>
                <w:lock w:val="sdtLocked"/>
              </w:sdtPr>
              <w:sdtEndPr>
                <w:rPr>
                  <w:sz w:val="18"/>
                  <w:szCs w:val="18"/>
                </w:rPr>
              </w:sdtEndPr>
              <w:sdtContent>
                <w:tc>
                  <w:tcPr>
                    <w:tcW w:w="2270" w:type="dxa"/>
                    <w:shd w:val="clear" w:color="auto" w:fill="auto"/>
                    <w:vAlign w:val="center"/>
                  </w:tcPr>
                  <w:p>
                    <w:pPr>
                      <w:pStyle w:val="76"/>
                      <w:ind w:firstLine="360" w:firstLineChars="200"/>
                      <w:rPr>
                        <w:sz w:val="18"/>
                        <w:szCs w:val="18"/>
                      </w:rPr>
                    </w:pPr>
                    <w:r>
                      <w:rPr>
                        <w:rFonts w:hint="eastAsia"/>
                        <w:sz w:val="18"/>
                        <w:szCs w:val="18"/>
                      </w:rPr>
                      <w:t>4.</w:t>
                    </w:r>
                    <w:r>
                      <w:rPr>
                        <w:sz w:val="18"/>
                        <w:szCs w:val="18"/>
                      </w:rPr>
                      <w:t>期末余额</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2,747,881.67</w:t>
                </w:r>
              </w:p>
            </w:tc>
            <w:tc>
              <w:tcPr>
                <w:tcW w:w="1579" w:type="dxa"/>
                <w:shd w:val="clear" w:color="auto" w:fill="auto"/>
              </w:tcPr>
              <w:p>
                <w:pPr>
                  <w:pStyle w:val="76"/>
                  <w:jc w:val="right"/>
                  <w:rPr>
                    <w:sz w:val="18"/>
                    <w:szCs w:val="18"/>
                  </w:rPr>
                </w:pPr>
                <w:r>
                  <w:rPr>
                    <w:sz w:val="18"/>
                    <w:szCs w:val="18"/>
                  </w:rPr>
                  <w:t>2,747,881.67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100d3bc56cc142c1b30c3998528f8af2"/>
                <w:id w:val="25154950"/>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三、减值准备</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p>
            </w:tc>
            <w:tc>
              <w:tcPr>
                <w:tcW w:w="1579"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77aceef1b70d43c0846f7e8f529b7784"/>
                <w:id w:val="25154951"/>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四、账面价值</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　</w:t>
                </w:r>
              </w:p>
            </w:tc>
            <w:tc>
              <w:tcPr>
                <w:tcW w:w="1579" w:type="dxa"/>
                <w:shd w:val="clear" w:color="auto" w:fill="auto"/>
              </w:tcPr>
              <w:p>
                <w:pPr>
                  <w:pStyle w:val="76"/>
                  <w:jc w:val="right"/>
                  <w:rPr>
                    <w:sz w:val="18"/>
                    <w:szCs w:val="18"/>
                  </w:rPr>
                </w:pPr>
                <w:r>
                  <w:rPr>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7b3cabd4024540c8bf9dc83469ecf7d4"/>
                <w:id w:val="25154952"/>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 xml:space="preserve">    1.期末账面价值</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9,973,110.14</w:t>
                </w:r>
              </w:p>
            </w:tc>
            <w:tc>
              <w:tcPr>
                <w:tcW w:w="1579" w:type="dxa"/>
                <w:shd w:val="clear" w:color="auto" w:fill="auto"/>
              </w:tcPr>
              <w:p>
                <w:pPr>
                  <w:pStyle w:val="76"/>
                  <w:jc w:val="right"/>
                  <w:rPr>
                    <w:sz w:val="18"/>
                    <w:szCs w:val="18"/>
                  </w:rPr>
                </w:pPr>
                <w:r>
                  <w:rPr>
                    <w:sz w:val="18"/>
                    <w:szCs w:val="18"/>
                  </w:rPr>
                  <w:t>9,973,110.14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rPr>
                  <w:sz w:val="18"/>
                  <w:szCs w:val="18"/>
                </w:rPr>
                <w:tag w:val="_PLD_04cb9e53cf0d4d8b83570453ac161e64"/>
                <w:id w:val="25154953"/>
                <w:lock w:val="sdtLocked"/>
              </w:sdtPr>
              <w:sdtEndPr>
                <w:rPr>
                  <w:sz w:val="18"/>
                  <w:szCs w:val="18"/>
                </w:rPr>
              </w:sdtEndPr>
              <w:sdtContent>
                <w:tc>
                  <w:tcPr>
                    <w:tcW w:w="2270" w:type="dxa"/>
                    <w:shd w:val="clear" w:color="auto" w:fill="auto"/>
                    <w:vAlign w:val="center"/>
                  </w:tcPr>
                  <w:p>
                    <w:pPr>
                      <w:pStyle w:val="76"/>
                      <w:rPr>
                        <w:sz w:val="18"/>
                        <w:szCs w:val="18"/>
                      </w:rPr>
                    </w:pPr>
                    <w:r>
                      <w:rPr>
                        <w:sz w:val="18"/>
                        <w:szCs w:val="18"/>
                      </w:rPr>
                      <w:t xml:space="preserve">    2.</w:t>
                    </w:r>
                    <w:r>
                      <w:rPr>
                        <w:rFonts w:hint="eastAsia"/>
                        <w:sz w:val="18"/>
                        <w:szCs w:val="18"/>
                      </w:rPr>
                      <w:t>期初</w:t>
                    </w:r>
                    <w:r>
                      <w:rPr>
                        <w:sz w:val="18"/>
                        <w:szCs w:val="18"/>
                      </w:rPr>
                      <w:t>账面价值</w:t>
                    </w:r>
                  </w:p>
                </w:tc>
              </w:sdtContent>
            </w:sdt>
            <w:tc>
              <w:tcPr>
                <w:tcW w:w="1327" w:type="dxa"/>
                <w:shd w:val="clear" w:color="auto" w:fill="auto"/>
              </w:tcPr>
              <w:p>
                <w:pPr>
                  <w:pStyle w:val="76"/>
                  <w:jc w:val="right"/>
                  <w:rPr>
                    <w:sz w:val="18"/>
                    <w:szCs w:val="18"/>
                  </w:rPr>
                </w:pPr>
              </w:p>
            </w:tc>
            <w:tc>
              <w:tcPr>
                <w:tcW w:w="1328" w:type="dxa"/>
                <w:shd w:val="clear" w:color="auto" w:fill="auto"/>
              </w:tcPr>
              <w:p>
                <w:pPr>
                  <w:pStyle w:val="76"/>
                  <w:jc w:val="right"/>
                  <w:rPr>
                    <w:sz w:val="18"/>
                    <w:szCs w:val="18"/>
                  </w:rPr>
                </w:pPr>
              </w:p>
            </w:tc>
            <w:tc>
              <w:tcPr>
                <w:tcW w:w="1283" w:type="dxa"/>
                <w:shd w:val="clear" w:color="auto" w:fill="auto"/>
              </w:tcPr>
              <w:p>
                <w:pPr>
                  <w:pStyle w:val="76"/>
                  <w:jc w:val="right"/>
                  <w:rPr>
                    <w:sz w:val="18"/>
                    <w:szCs w:val="18"/>
                  </w:rPr>
                </w:pPr>
              </w:p>
            </w:tc>
            <w:tc>
              <w:tcPr>
                <w:tcW w:w="1581" w:type="dxa"/>
                <w:shd w:val="clear" w:color="auto" w:fill="auto"/>
              </w:tcPr>
              <w:p>
                <w:pPr>
                  <w:pStyle w:val="76"/>
                  <w:jc w:val="right"/>
                  <w:rPr>
                    <w:sz w:val="18"/>
                    <w:szCs w:val="18"/>
                  </w:rPr>
                </w:pPr>
                <w:r>
                  <w:rPr>
                    <w:sz w:val="18"/>
                    <w:szCs w:val="18"/>
                  </w:rPr>
                  <w:t>11,245,209.38</w:t>
                </w:r>
              </w:p>
            </w:tc>
            <w:tc>
              <w:tcPr>
                <w:tcW w:w="1579" w:type="dxa"/>
                <w:shd w:val="clear" w:color="auto" w:fill="auto"/>
              </w:tcPr>
              <w:p>
                <w:pPr>
                  <w:pStyle w:val="76"/>
                  <w:jc w:val="right"/>
                  <w:rPr>
                    <w:sz w:val="18"/>
                    <w:szCs w:val="18"/>
                  </w:rPr>
                </w:pPr>
                <w:r>
                  <w:rPr>
                    <w:sz w:val="18"/>
                    <w:szCs w:val="18"/>
                  </w:rPr>
                  <w:t>11,245,209.38</w:t>
                </w:r>
              </w:p>
            </w:tc>
          </w:tr>
        </w:tbl>
        <w:p>
          <w:pPr>
            <w:pStyle w:val="76"/>
          </w:pPr>
        </w:p>
        <w:p>
          <w:pPr>
            <w:pStyle w:val="76"/>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25154954"/>
              <w:lock w:val="sdtLocked"/>
              <w:placeholder>
                <w:docPart w:val="GBC22222222222222222222222222222"/>
              </w:placeholder>
            </w:sdtPr>
            <w:sdtEndPr>
              <w:rPr>
                <w:szCs w:val="21"/>
              </w:rPr>
            </w:sdtEndPr>
            <w:sdtContent>
              <w:r>
                <w:rPr>
                  <w:rFonts w:hint="eastAsia"/>
                  <w:szCs w:val="21"/>
                </w:rPr>
                <w:t>0</w:t>
              </w:r>
            </w:sdtContent>
          </w:sdt>
          <w:r>
            <w:rPr>
              <w:rFonts w:hint="eastAsia"/>
              <w:szCs w:val="21"/>
            </w:rPr>
            <w:t>%</w:t>
          </w:r>
        </w:p>
        <w:p>
          <w:pPr>
            <w:pStyle w:val="76"/>
            <w:snapToGrid w:val="0"/>
            <w:spacing w:line="240" w:lineRule="atLeast"/>
            <w:rPr>
              <w:szCs w:val="21"/>
            </w:rPr>
          </w:pPr>
        </w:p>
      </w:sdtContent>
    </w:sdt>
    <w:sdt>
      <w:sdtPr>
        <w:rPr>
          <w:rFonts w:hint="eastAsia" w:ascii="宋体" w:hAnsi="宋体" w:cs="宋体"/>
          <w:b w:val="0"/>
          <w:bCs w:val="0"/>
          <w:kern w:val="0"/>
          <w:szCs w:val="21"/>
        </w:rPr>
        <w:alias w:val="模块:未办妥产权证书的土地使用权情况："/>
        <w:tag w:val="_GBC_0daf5d1e7172402ab885ca5e5b78a389"/>
        <w:id w:val="25154957"/>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60"/>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25154956"/>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无形资产说明"/>
        <w:tag w:val="_GBC_c2d02a8bb1274cb1bf0330030cc64229"/>
        <w:id w:val="25154959"/>
        <w:lock w:val="sdtLocked"/>
        <w:placeholder>
          <w:docPart w:val="GBC22222222222222222222222222222"/>
        </w:placeholder>
      </w:sdtPr>
      <w:sdtEndPr>
        <w:rPr>
          <w:szCs w:val="21"/>
        </w:rPr>
      </w:sdtEndPr>
      <w:sdtContent>
        <w:p>
          <w:pPr>
            <w:pStyle w:val="76"/>
            <w:rPr>
              <w:szCs w:val="21"/>
            </w:rPr>
          </w:pPr>
          <w:r>
            <w:rPr>
              <w:rFonts w:hint="eastAsia"/>
              <w:szCs w:val="21"/>
            </w:rPr>
            <w:t>其他说明：</w:t>
          </w:r>
        </w:p>
        <w:sdt>
          <w:sdtPr>
            <w:rPr>
              <w:szCs w:val="21"/>
            </w:rPr>
            <w:alias w:val="是否适用：无形资产的说明[双击切换]"/>
            <w:tag w:val="_GBC_dc3c687f3c2c457e9024304c14129458"/>
            <w:id w:val="25154958"/>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napToGrid w:val="0"/>
            <w:spacing w:line="240" w:lineRule="atLeast"/>
            <w:rPr>
              <w:szCs w:val="21"/>
            </w:rPr>
          </w:pPr>
        </w:p>
      </w:sdtContent>
    </w:sdt>
    <w:sdt>
      <w:sdtPr>
        <w:rPr>
          <w:rFonts w:hint="eastAsia" w:ascii="宋体" w:hAnsi="宋体" w:cs="宋体"/>
          <w:b w:val="0"/>
          <w:bCs w:val="0"/>
          <w:kern w:val="0"/>
          <w:szCs w:val="21"/>
        </w:rPr>
        <w:alias w:val="模块:公司开发项目支出"/>
        <w:tag w:val="_GBC_41dea900f659431692960536981b1d8d"/>
        <w:id w:val="25154961"/>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rPr>
              <w:rFonts w:ascii="宋体" w:hAnsi="宋体"/>
              <w:kern w:val="0"/>
              <w:szCs w:val="21"/>
            </w:rPr>
          </w:pPr>
          <w:r>
            <w:rPr>
              <w:rFonts w:hint="eastAsia" w:ascii="宋体" w:hAnsi="宋体"/>
              <w:szCs w:val="21"/>
            </w:rPr>
            <w:t>开发</w:t>
          </w:r>
          <w:r>
            <w:rPr>
              <w:rFonts w:hint="eastAsia" w:ascii="宋体" w:hAnsi="宋体"/>
              <w:kern w:val="0"/>
              <w:szCs w:val="21"/>
            </w:rPr>
            <w:t>支出</w:t>
          </w:r>
        </w:p>
        <w:sdt>
          <w:sdtPr>
            <w:alias w:val="是否适用：开发支出[双击切换]"/>
            <w:tag w:val="_GBC_a62fb6e641b048a49c12233ba47c4939"/>
            <w:id w:val="2515496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sdtContent>
    </w:sdt>
    <w:p>
      <w:pPr>
        <w:pStyle w:val="76"/>
        <w:snapToGrid w:val="0"/>
        <w:spacing w:line="240" w:lineRule="atLeast"/>
        <w:rPr>
          <w:szCs w:val="21"/>
        </w:rPr>
      </w:pPr>
    </w:p>
    <w:sdt>
      <w:sdtPr>
        <w:rPr>
          <w:rFonts w:hint="eastAsia" w:ascii="宋体" w:hAnsi="宋体" w:cs="宋体"/>
          <w:b w:val="0"/>
          <w:bCs w:val="0"/>
          <w:kern w:val="0"/>
          <w:szCs w:val="21"/>
        </w:rPr>
        <w:alias w:val="模块:商誉"/>
        <w:tag w:val="_GBC_8ab2346c07f64f4cb475239f5d177377"/>
        <w:id w:val="25154966"/>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商誉</w:t>
          </w:r>
        </w:p>
        <w:p>
          <w:pPr>
            <w:pStyle w:val="80"/>
            <w:numPr>
              <w:ilvl w:val="0"/>
              <w:numId w:val="61"/>
            </w:numPr>
            <w:tabs>
              <w:tab w:val="left" w:pos="588"/>
            </w:tabs>
          </w:pPr>
          <w:r>
            <w:rPr>
              <w:rFonts w:hint="eastAsia"/>
            </w:rPr>
            <w:t>商誉账面原值</w:t>
          </w:r>
        </w:p>
        <w:sdt>
          <w:sdtPr>
            <w:alias w:val="是否适用：商誉账面原值[双击切换]"/>
            <w:tag w:val="_GBC_e2a869d440cf4b7f9f592f3e22cea85d"/>
            <w:id w:val="2515496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80"/>
            <w:numPr>
              <w:ilvl w:val="0"/>
              <w:numId w:val="61"/>
            </w:numPr>
            <w:tabs>
              <w:tab w:val="left" w:pos="588"/>
            </w:tabs>
          </w:pPr>
          <w:r>
            <w:rPr>
              <w:rFonts w:hint="eastAsia"/>
            </w:rPr>
            <w:t>商誉减值准备</w:t>
          </w:r>
        </w:p>
        <w:sdt>
          <w:sdtPr>
            <w:alias w:val="是否适用：商誉减值准备[双击切换]"/>
            <w:tag w:val="_GBC_743c9a20b5c043668f28664eb36decf8"/>
            <w:id w:val="2515496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r>
            <w:rPr>
              <w:rFonts w:hint="eastAsia"/>
            </w:rPr>
            <w:t>说明商誉减值测试过程、参数及商誉减值损失的确认方法</w:t>
          </w:r>
        </w:p>
        <w:sdt>
          <w:sdtPr>
            <w:alias w:val="是否适用：说明商誉减值测试过程、参数及商誉减值损失的确认方法[双击切换]"/>
            <w:tag w:val="_GBC_3e5dd9e04d73479f9a70e665366f9d11"/>
            <w:id w:val="2515496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p>
          <w:pPr>
            <w:pStyle w:val="76"/>
          </w:pPr>
          <w:r>
            <w:rPr>
              <w:rFonts w:hint="eastAsia"/>
            </w:rPr>
            <w:t>其他说明</w:t>
          </w:r>
        </w:p>
        <w:sdt>
          <w:sdtPr>
            <w:alias w:val="是否适用：商誉其他需要说明的事项[双击切换]"/>
            <w:tag w:val="_GBC_6b2c2377a4a6486b9a4ba845bd2192f6"/>
            <w:id w:val="2515496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sdtContent>
    </w:sdt>
    <w:sdt>
      <w:sdtPr>
        <w:rPr>
          <w:rFonts w:hint="eastAsia" w:ascii="宋体" w:hAnsi="宋体" w:cs="宋体"/>
          <w:b w:val="0"/>
          <w:bCs w:val="0"/>
          <w:kern w:val="0"/>
          <w:szCs w:val="21"/>
        </w:rPr>
        <w:alias w:val="模块:长期待摊费用"/>
        <w:tag w:val="_GBC_c7f901dce89846cbbbab6c51c3213a6f"/>
        <w:id w:val="25154968"/>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长期待摊费用</w:t>
          </w:r>
        </w:p>
        <w:sdt>
          <w:sdtPr>
            <w:alias w:val="是否适用：长期待摊费用[双击切换]"/>
            <w:tag w:val="_GBC_9bec8f9516c84b19bae2fb8a7292063f"/>
            <w:id w:val="2515496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递延所得税资产/ 递延所得税负债</w:t>
      </w:r>
    </w:p>
    <w:sdt>
      <w:sdtPr>
        <w:rPr>
          <w:rFonts w:hint="eastAsia" w:ascii="宋体" w:hAnsi="宋体" w:cs="宋体"/>
          <w:b w:val="0"/>
          <w:bCs w:val="0"/>
          <w:kern w:val="0"/>
          <w:szCs w:val="21"/>
        </w:rPr>
        <w:alias w:val="模块:递延所得税资产和递延所得税负债不以抵销后的净额列示"/>
        <w:tag w:val="_GBC_8718dc518ab14b138505879106800781"/>
        <w:id w:val="25154990"/>
        <w:lock w:val="sdtLocked"/>
        <w:placeholder>
          <w:docPart w:val="GBC22222222222222222222222222222"/>
        </w:placeholder>
      </w:sdtPr>
      <w:sdtEndPr>
        <w:rPr>
          <w:rFonts w:hint="eastAsia" w:ascii="宋体" w:hAnsi="宋体" w:cstheme="minorBidi"/>
          <w:b w:val="0"/>
          <w:bCs w:val="0"/>
          <w:kern w:val="2"/>
          <w:szCs w:val="21"/>
        </w:rPr>
      </w:sdtEndPr>
      <w:sdtContent>
        <w:p>
          <w:pPr>
            <w:pStyle w:val="80"/>
            <w:numPr>
              <w:ilvl w:val="0"/>
              <w:numId w:val="62"/>
            </w:numPr>
            <w:tabs>
              <w:tab w:val="left" w:pos="588"/>
              <w:tab w:val="left" w:pos="616"/>
            </w:tabs>
          </w:pPr>
          <w:bookmarkStart w:id="51" w:name="_Toc215903151"/>
          <w:r>
            <w:rPr>
              <w:rFonts w:hint="eastAsia"/>
            </w:rPr>
            <w:t>未经抵销的递延所得税资产</w:t>
          </w:r>
        </w:p>
        <w:sdt>
          <w:sdtPr>
            <w:alias w:val="是否适用：未经抵销的递延所得税资产[双击切换]"/>
            <w:tag w:val="_GBC_fc6e77974a404dc3bef5fc386ae4e1e7"/>
            <w:id w:val="2515496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251549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bookmarkEnd w:id="51"/>
          <w:sdt>
            <w:sdtPr>
              <w:rPr>
                <w:rFonts w:hint="eastAsia"/>
                <w:szCs w:val="21"/>
              </w:rPr>
              <w:alias w:val="币种：财务附注：已确认的递延所得税资产和递延所得税负债"/>
              <w:tag w:val="_GBC_a48237f045494aa9a0ea8c2cb35b1c0f"/>
              <w:id w:val="251549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686"/>
            <w:gridCol w:w="1628"/>
            <w:gridCol w:w="168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45101b3a01946f19f22657bb959574e"/>
                <w:id w:val="25154972"/>
                <w:lock w:val="sdtLocked"/>
              </w:sdtPr>
              <w:sdtContent>
                <w:tc>
                  <w:tcPr>
                    <w:tcW w:w="2425" w:type="dxa"/>
                    <w:vMerge w:val="restart"/>
                    <w:shd w:val="clear" w:color="auto" w:fill="auto"/>
                    <w:vAlign w:val="center"/>
                  </w:tcPr>
                  <w:p>
                    <w:pPr>
                      <w:pStyle w:val="76"/>
                      <w:jc w:val="center"/>
                      <w:rPr>
                        <w:szCs w:val="21"/>
                      </w:rPr>
                    </w:pPr>
                    <w:r>
                      <w:rPr>
                        <w:rFonts w:hint="eastAsia"/>
                        <w:szCs w:val="21"/>
                      </w:rPr>
                      <w:t>项目</w:t>
                    </w:r>
                  </w:p>
                </w:tc>
              </w:sdtContent>
            </w:sdt>
            <w:sdt>
              <w:sdtPr>
                <w:tag w:val="_PLD_dd892ffecd234c819059bf10f71b1910"/>
                <w:id w:val="25154973"/>
                <w:lock w:val="sdtLocked"/>
              </w:sdtPr>
              <w:sdtContent>
                <w:tc>
                  <w:tcPr>
                    <w:tcW w:w="3314" w:type="dxa"/>
                    <w:gridSpan w:val="2"/>
                    <w:shd w:val="clear" w:color="auto" w:fill="auto"/>
                    <w:vAlign w:val="center"/>
                  </w:tcPr>
                  <w:p>
                    <w:pPr>
                      <w:pStyle w:val="76"/>
                      <w:jc w:val="center"/>
                      <w:rPr>
                        <w:szCs w:val="21"/>
                      </w:rPr>
                    </w:pPr>
                    <w:r>
                      <w:rPr>
                        <w:rFonts w:hint="eastAsia"/>
                        <w:szCs w:val="21"/>
                      </w:rPr>
                      <w:t>期末余额</w:t>
                    </w:r>
                  </w:p>
                </w:tc>
              </w:sdtContent>
            </w:sdt>
            <w:sdt>
              <w:sdtPr>
                <w:tag w:val="_PLD_be855fcb002344d6ae2c74083e90b1c1"/>
                <w:id w:val="25154974"/>
                <w:lock w:val="sdtLocked"/>
              </w:sdtPr>
              <w:sdtContent>
                <w:tc>
                  <w:tcPr>
                    <w:tcW w:w="3312" w:type="dxa"/>
                    <w:gridSpan w:val="2"/>
                    <w:shd w:val="clear" w:color="auto" w:fill="auto"/>
                    <w:vAlign w:val="center"/>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25" w:type="dxa"/>
                <w:vMerge w:val="continue"/>
                <w:shd w:val="clear" w:color="auto" w:fill="auto"/>
                <w:vAlign w:val="center"/>
              </w:tcPr>
              <w:p>
                <w:pPr>
                  <w:pStyle w:val="76"/>
                  <w:jc w:val="center"/>
                  <w:rPr>
                    <w:b/>
                    <w:szCs w:val="21"/>
                  </w:rPr>
                </w:pPr>
              </w:p>
            </w:tc>
            <w:sdt>
              <w:sdtPr>
                <w:tag w:val="_PLD_c82eb64547054aa39a1b7bfe7c532e2e"/>
                <w:id w:val="25154975"/>
                <w:lock w:val="sdtLocked"/>
              </w:sdtPr>
              <w:sdtContent>
                <w:tc>
                  <w:tcPr>
                    <w:tcW w:w="1686" w:type="dxa"/>
                    <w:shd w:val="clear" w:color="auto" w:fill="auto"/>
                    <w:vAlign w:val="center"/>
                  </w:tcPr>
                  <w:p>
                    <w:pPr>
                      <w:pStyle w:val="76"/>
                      <w:jc w:val="center"/>
                      <w:rPr>
                        <w:szCs w:val="21"/>
                      </w:rPr>
                    </w:pPr>
                    <w:r>
                      <w:rPr>
                        <w:rFonts w:hint="eastAsia"/>
                        <w:szCs w:val="21"/>
                      </w:rPr>
                      <w:t>可抵扣暂时性差异</w:t>
                    </w:r>
                  </w:p>
                </w:tc>
              </w:sdtContent>
            </w:sdt>
            <w:sdt>
              <w:sdtPr>
                <w:tag w:val="_PLD_ad2e47975c52486d8bfc7fec079252de"/>
                <w:id w:val="25154976"/>
                <w:lock w:val="sdtLocked"/>
              </w:sdtPr>
              <w:sdtContent>
                <w:tc>
                  <w:tcPr>
                    <w:tcW w:w="1628" w:type="dxa"/>
                    <w:shd w:val="clear" w:color="auto" w:fill="auto"/>
                    <w:vAlign w:val="center"/>
                  </w:tcPr>
                  <w:p>
                    <w:pPr>
                      <w:pStyle w:val="76"/>
                      <w:jc w:val="center"/>
                      <w:rPr>
                        <w:szCs w:val="21"/>
                      </w:rPr>
                    </w:pPr>
                    <w:r>
                      <w:rPr>
                        <w:rFonts w:hint="eastAsia"/>
                        <w:szCs w:val="21"/>
                      </w:rPr>
                      <w:t>递延所得税</w:t>
                    </w:r>
                  </w:p>
                  <w:p>
                    <w:pPr>
                      <w:pStyle w:val="76"/>
                      <w:jc w:val="center"/>
                      <w:rPr>
                        <w:szCs w:val="21"/>
                      </w:rPr>
                    </w:pPr>
                    <w:r>
                      <w:rPr>
                        <w:rFonts w:hint="eastAsia"/>
                        <w:szCs w:val="21"/>
                      </w:rPr>
                      <w:t>资产</w:t>
                    </w:r>
                  </w:p>
                </w:tc>
              </w:sdtContent>
            </w:sdt>
            <w:sdt>
              <w:sdtPr>
                <w:tag w:val="_PLD_0e0e7aabb5f8432ea9da8b4066b2e897"/>
                <w:id w:val="25154977"/>
                <w:lock w:val="sdtLocked"/>
              </w:sdtPr>
              <w:sdtContent>
                <w:tc>
                  <w:tcPr>
                    <w:tcW w:w="1686" w:type="dxa"/>
                    <w:shd w:val="clear" w:color="auto" w:fill="auto"/>
                    <w:vAlign w:val="center"/>
                  </w:tcPr>
                  <w:p>
                    <w:pPr>
                      <w:pStyle w:val="76"/>
                      <w:jc w:val="center"/>
                      <w:rPr>
                        <w:szCs w:val="21"/>
                      </w:rPr>
                    </w:pPr>
                    <w:r>
                      <w:rPr>
                        <w:rFonts w:hint="eastAsia"/>
                        <w:szCs w:val="21"/>
                      </w:rPr>
                      <w:t>可抵扣暂时性差异</w:t>
                    </w:r>
                  </w:p>
                </w:tc>
              </w:sdtContent>
            </w:sdt>
            <w:sdt>
              <w:sdtPr>
                <w:tag w:val="_PLD_34147e3346eb4b24b314e0dadaab6983"/>
                <w:id w:val="25154978"/>
                <w:lock w:val="sdtLocked"/>
              </w:sdtPr>
              <w:sdtContent>
                <w:tc>
                  <w:tcPr>
                    <w:tcW w:w="1626" w:type="dxa"/>
                    <w:shd w:val="clear" w:color="auto" w:fill="auto"/>
                    <w:vAlign w:val="center"/>
                  </w:tcPr>
                  <w:p>
                    <w:pPr>
                      <w:pStyle w:val="76"/>
                      <w:jc w:val="center"/>
                      <w:rPr>
                        <w:szCs w:val="21"/>
                      </w:rPr>
                    </w:pPr>
                    <w:r>
                      <w:rPr>
                        <w:rFonts w:hint="eastAsia"/>
                        <w:szCs w:val="21"/>
                      </w:rPr>
                      <w:t>递延所得税</w:t>
                    </w:r>
                  </w:p>
                  <w:p>
                    <w:pPr>
                      <w:pStyle w:val="76"/>
                      <w:jc w:val="center"/>
                      <w:rPr>
                        <w:szCs w:val="21"/>
                      </w:rPr>
                    </w:pPr>
                    <w:r>
                      <w:rPr>
                        <w:rFonts w:hint="eastAsia"/>
                        <w:szCs w:val="21"/>
                      </w:rPr>
                      <w:t>资产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bf7e1aa06884192bd26302547776324"/>
                <w:id w:val="25154979"/>
                <w:lock w:val="sdtLocked"/>
              </w:sdtPr>
              <w:sdtContent>
                <w:tc>
                  <w:tcPr>
                    <w:tcW w:w="2425" w:type="dxa"/>
                    <w:shd w:val="clear" w:color="auto" w:fill="auto"/>
                    <w:vAlign w:val="center"/>
                  </w:tcPr>
                  <w:p>
                    <w:pPr>
                      <w:pStyle w:val="76"/>
                      <w:ind w:firstLine="210" w:firstLineChars="100"/>
                      <w:jc w:val="center"/>
                      <w:rPr>
                        <w:szCs w:val="21"/>
                      </w:rPr>
                    </w:pPr>
                    <w:r>
                      <w:rPr>
                        <w:rFonts w:hint="eastAsia"/>
                        <w:szCs w:val="21"/>
                      </w:rPr>
                      <w:t>资产减值准备</w:t>
                    </w:r>
                  </w:p>
                </w:tc>
              </w:sdtContent>
            </w:sdt>
            <w:tc>
              <w:tcPr>
                <w:tcW w:w="1686" w:type="dxa"/>
                <w:shd w:val="clear" w:color="auto" w:fill="auto"/>
              </w:tcPr>
              <w:p>
                <w:pPr>
                  <w:pStyle w:val="76"/>
                  <w:jc w:val="right"/>
                  <w:rPr>
                    <w:szCs w:val="21"/>
                  </w:rPr>
                </w:pPr>
                <w:r>
                  <w:t>41,438,569.70</w:t>
                </w:r>
              </w:p>
            </w:tc>
            <w:tc>
              <w:tcPr>
                <w:tcW w:w="1628" w:type="dxa"/>
                <w:shd w:val="clear" w:color="auto" w:fill="auto"/>
              </w:tcPr>
              <w:p>
                <w:pPr>
                  <w:pStyle w:val="76"/>
                  <w:jc w:val="right"/>
                  <w:rPr>
                    <w:szCs w:val="21"/>
                  </w:rPr>
                </w:pPr>
                <w:r>
                  <w:t>6,216,701.30</w:t>
                </w:r>
              </w:p>
            </w:tc>
            <w:tc>
              <w:tcPr>
                <w:tcW w:w="1686" w:type="dxa"/>
                <w:shd w:val="clear" w:color="auto" w:fill="auto"/>
              </w:tcPr>
              <w:p>
                <w:pPr>
                  <w:pStyle w:val="76"/>
                  <w:jc w:val="right"/>
                  <w:rPr>
                    <w:szCs w:val="21"/>
                  </w:rPr>
                </w:pPr>
                <w:r>
                  <w:t>41,444,675.30</w:t>
                </w:r>
              </w:p>
            </w:tc>
            <w:tc>
              <w:tcPr>
                <w:tcW w:w="1626" w:type="dxa"/>
                <w:shd w:val="clear" w:color="auto" w:fill="auto"/>
              </w:tcPr>
              <w:p>
                <w:pPr>
                  <w:pStyle w:val="76"/>
                  <w:jc w:val="right"/>
                  <w:rPr>
                    <w:szCs w:val="21"/>
                  </w:rPr>
                </w:pPr>
                <w:r>
                  <w:t>6,216,701.30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024091818f2b4c9386a36ed63f88f791"/>
                <w:id w:val="25154980"/>
                <w:lock w:val="sdtLocked"/>
              </w:sdtPr>
              <w:sdtContent>
                <w:tc>
                  <w:tcPr>
                    <w:tcW w:w="2425" w:type="dxa"/>
                    <w:shd w:val="clear" w:color="auto" w:fill="auto"/>
                    <w:vAlign w:val="center"/>
                  </w:tcPr>
                  <w:p>
                    <w:pPr>
                      <w:pStyle w:val="76"/>
                      <w:ind w:firstLine="210" w:firstLineChars="100"/>
                      <w:jc w:val="center"/>
                      <w:rPr>
                        <w:szCs w:val="21"/>
                      </w:rPr>
                    </w:pPr>
                    <w:r>
                      <w:rPr>
                        <w:rFonts w:hint="eastAsia"/>
                        <w:szCs w:val="21"/>
                      </w:rPr>
                      <w:t>内部交易未实现利润</w:t>
                    </w:r>
                  </w:p>
                </w:tc>
              </w:sdtContent>
            </w:sdt>
            <w:tc>
              <w:tcPr>
                <w:tcW w:w="1686" w:type="dxa"/>
                <w:shd w:val="clear" w:color="auto" w:fill="auto"/>
              </w:tcPr>
              <w:p>
                <w:pPr>
                  <w:pStyle w:val="76"/>
                  <w:jc w:val="right"/>
                  <w:rPr>
                    <w:szCs w:val="21"/>
                  </w:rPr>
                </w:pPr>
              </w:p>
            </w:tc>
            <w:tc>
              <w:tcPr>
                <w:tcW w:w="1628" w:type="dxa"/>
                <w:shd w:val="clear" w:color="auto" w:fill="auto"/>
              </w:tcPr>
              <w:p>
                <w:pPr>
                  <w:pStyle w:val="76"/>
                  <w:jc w:val="right"/>
                  <w:rPr>
                    <w:szCs w:val="21"/>
                  </w:rPr>
                </w:pPr>
              </w:p>
            </w:tc>
            <w:tc>
              <w:tcPr>
                <w:tcW w:w="1686" w:type="dxa"/>
                <w:shd w:val="clear" w:color="auto" w:fill="auto"/>
              </w:tcPr>
              <w:p>
                <w:pPr>
                  <w:pStyle w:val="76"/>
                  <w:jc w:val="right"/>
                  <w:rPr>
                    <w:szCs w:val="21"/>
                  </w:rPr>
                </w:pPr>
              </w:p>
            </w:tc>
            <w:tc>
              <w:tcPr>
                <w:tcW w:w="1626"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ab9951be3e845939320c38b7e9544d7"/>
                <w:id w:val="25154981"/>
                <w:lock w:val="sdtLocked"/>
              </w:sdtPr>
              <w:sdtContent>
                <w:tc>
                  <w:tcPr>
                    <w:tcW w:w="2425" w:type="dxa"/>
                    <w:tcBorders>
                      <w:bottom w:val="single" w:color="auto" w:sz="4" w:space="0"/>
                    </w:tcBorders>
                    <w:shd w:val="clear" w:color="auto" w:fill="auto"/>
                    <w:vAlign w:val="center"/>
                  </w:tcPr>
                  <w:p>
                    <w:pPr>
                      <w:pStyle w:val="76"/>
                      <w:ind w:firstLine="210" w:firstLineChars="100"/>
                      <w:jc w:val="center"/>
                      <w:rPr>
                        <w:szCs w:val="21"/>
                      </w:rPr>
                    </w:pPr>
                    <w:r>
                      <w:rPr>
                        <w:rFonts w:hint="eastAsia"/>
                        <w:szCs w:val="21"/>
                      </w:rPr>
                      <w:t>可抵扣亏损</w:t>
                    </w:r>
                  </w:p>
                </w:tc>
              </w:sdtContent>
            </w:sdt>
            <w:tc>
              <w:tcPr>
                <w:tcW w:w="1686" w:type="dxa"/>
                <w:shd w:val="clear" w:color="auto" w:fill="auto"/>
              </w:tcPr>
              <w:p>
                <w:pPr>
                  <w:pStyle w:val="76"/>
                  <w:jc w:val="right"/>
                  <w:rPr>
                    <w:szCs w:val="21"/>
                  </w:rPr>
                </w:pPr>
              </w:p>
            </w:tc>
            <w:tc>
              <w:tcPr>
                <w:tcW w:w="1628" w:type="dxa"/>
                <w:shd w:val="clear" w:color="auto" w:fill="auto"/>
              </w:tcPr>
              <w:p>
                <w:pPr>
                  <w:pStyle w:val="76"/>
                  <w:jc w:val="right"/>
                  <w:rPr>
                    <w:szCs w:val="21"/>
                  </w:rPr>
                </w:pPr>
              </w:p>
            </w:tc>
            <w:tc>
              <w:tcPr>
                <w:tcW w:w="1686" w:type="dxa"/>
                <w:shd w:val="clear" w:color="auto" w:fill="auto"/>
              </w:tcPr>
              <w:p>
                <w:pPr>
                  <w:pStyle w:val="76"/>
                  <w:jc w:val="right"/>
                  <w:rPr>
                    <w:szCs w:val="21"/>
                  </w:rPr>
                </w:pPr>
              </w:p>
            </w:tc>
            <w:tc>
              <w:tcPr>
                <w:tcW w:w="1626" w:type="dxa"/>
                <w:shd w:val="clear" w:color="auto" w:fill="auto"/>
              </w:tcPr>
              <w:p>
                <w:pPr>
                  <w:pStyle w:val="76"/>
                  <w:jc w:val="right"/>
                  <w:rPr>
                    <w:szCs w:val="21"/>
                  </w:rPr>
                </w:pPr>
              </w:p>
            </w:tc>
          </w:tr>
          <w:sdt>
            <w:sdtPr>
              <w:rPr>
                <w:szCs w:val="21"/>
              </w:rPr>
              <w:alias w:val="递延所得税资产明细"/>
              <w:tag w:val="_GBC_78d44848a87d4473a54948d3e2adbb46"/>
              <w:id w:val="2515498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25" w:type="dxa"/>
                    <w:shd w:val="clear" w:color="auto" w:fill="auto"/>
                    <w:vAlign w:val="center"/>
                  </w:tcPr>
                  <w:p>
                    <w:pPr>
                      <w:pStyle w:val="76"/>
                      <w:jc w:val="center"/>
                      <w:rPr>
                        <w:szCs w:val="21"/>
                      </w:rPr>
                    </w:pPr>
                    <w:r>
                      <w:t>政府补助递延收益</w:t>
                    </w:r>
                  </w:p>
                </w:tc>
                <w:tc>
                  <w:tcPr>
                    <w:tcW w:w="1686" w:type="dxa"/>
                    <w:shd w:val="clear" w:color="auto" w:fill="auto"/>
                  </w:tcPr>
                  <w:p>
                    <w:pPr>
                      <w:pStyle w:val="76"/>
                      <w:jc w:val="right"/>
                      <w:rPr>
                        <w:szCs w:val="21"/>
                      </w:rPr>
                    </w:pPr>
                    <w:r>
                      <w:t>71,658,905.49</w:t>
                    </w:r>
                  </w:p>
                </w:tc>
                <w:tc>
                  <w:tcPr>
                    <w:tcW w:w="1628" w:type="dxa"/>
                    <w:shd w:val="clear" w:color="auto" w:fill="auto"/>
                  </w:tcPr>
                  <w:p>
                    <w:pPr>
                      <w:pStyle w:val="76"/>
                      <w:jc w:val="right"/>
                      <w:rPr>
                        <w:szCs w:val="21"/>
                      </w:rPr>
                    </w:pPr>
                    <w:r>
                      <w:t>11,465,716.14</w:t>
                    </w:r>
                  </w:p>
                </w:tc>
                <w:tc>
                  <w:tcPr>
                    <w:tcW w:w="1686" w:type="dxa"/>
                    <w:shd w:val="clear" w:color="auto" w:fill="auto"/>
                  </w:tcPr>
                  <w:p>
                    <w:pPr>
                      <w:pStyle w:val="76"/>
                      <w:jc w:val="right"/>
                      <w:rPr>
                        <w:szCs w:val="21"/>
                      </w:rPr>
                    </w:pPr>
                    <w:r>
                      <w:t>76,438,107.61</w:t>
                    </w:r>
                  </w:p>
                </w:tc>
                <w:tc>
                  <w:tcPr>
                    <w:tcW w:w="1626" w:type="dxa"/>
                    <w:shd w:val="clear" w:color="auto" w:fill="auto"/>
                  </w:tcPr>
                  <w:p>
                    <w:pPr>
                      <w:pStyle w:val="76"/>
                      <w:jc w:val="right"/>
                      <w:rPr>
                        <w:szCs w:val="21"/>
                      </w:rPr>
                    </w:pPr>
                    <w:r>
                      <w:t>11,465,716.14</w:t>
                    </w:r>
                  </w:p>
                </w:tc>
              </w:tr>
            </w:sdtContent>
          </w:sdt>
          <w:sdt>
            <w:sdtPr>
              <w:rPr>
                <w:szCs w:val="21"/>
              </w:rPr>
              <w:alias w:val="递延所得税资产明细"/>
              <w:tag w:val="_GBC_78d44848a87d4473a54948d3e2adbb46"/>
              <w:id w:val="2515498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25" w:type="dxa"/>
                    <w:shd w:val="clear" w:color="auto" w:fill="auto"/>
                    <w:vAlign w:val="center"/>
                  </w:tcPr>
                  <w:p>
                    <w:pPr>
                      <w:pStyle w:val="76"/>
                      <w:jc w:val="center"/>
                      <w:rPr>
                        <w:szCs w:val="21"/>
                      </w:rPr>
                    </w:pPr>
                    <w:r>
                      <w:t>职工教育经费</w:t>
                    </w:r>
                  </w:p>
                </w:tc>
                <w:tc>
                  <w:tcPr>
                    <w:tcW w:w="1686" w:type="dxa"/>
                    <w:shd w:val="clear" w:color="auto" w:fill="auto"/>
                  </w:tcPr>
                  <w:p>
                    <w:pPr>
                      <w:pStyle w:val="76"/>
                      <w:jc w:val="right"/>
                      <w:rPr>
                        <w:szCs w:val="21"/>
                      </w:rPr>
                    </w:pPr>
                    <w:r>
                      <w:t>91,101,639.98</w:t>
                    </w:r>
                  </w:p>
                </w:tc>
                <w:tc>
                  <w:tcPr>
                    <w:tcW w:w="1628" w:type="dxa"/>
                    <w:shd w:val="clear" w:color="auto" w:fill="auto"/>
                  </w:tcPr>
                  <w:p>
                    <w:pPr>
                      <w:pStyle w:val="76"/>
                      <w:jc w:val="right"/>
                      <w:rPr>
                        <w:szCs w:val="21"/>
                      </w:rPr>
                    </w:pPr>
                    <w:r>
                      <w:t>12,427,619.36</w:t>
                    </w:r>
                  </w:p>
                </w:tc>
                <w:tc>
                  <w:tcPr>
                    <w:tcW w:w="1686" w:type="dxa"/>
                    <w:shd w:val="clear" w:color="auto" w:fill="auto"/>
                  </w:tcPr>
                  <w:p>
                    <w:pPr>
                      <w:pStyle w:val="76"/>
                      <w:jc w:val="right"/>
                      <w:rPr>
                        <w:szCs w:val="21"/>
                      </w:rPr>
                    </w:pPr>
                    <w:r>
                      <w:t>82,850,795.71</w:t>
                    </w:r>
                  </w:p>
                </w:tc>
                <w:tc>
                  <w:tcPr>
                    <w:tcW w:w="1626" w:type="dxa"/>
                    <w:shd w:val="clear" w:color="auto" w:fill="auto"/>
                  </w:tcPr>
                  <w:p>
                    <w:pPr>
                      <w:pStyle w:val="76"/>
                      <w:jc w:val="right"/>
                      <w:rPr>
                        <w:szCs w:val="21"/>
                      </w:rPr>
                    </w:pPr>
                    <w:r>
                      <w:t>12,427,619.36</w:t>
                    </w:r>
                  </w:p>
                </w:tc>
              </w:tr>
            </w:sdtContent>
          </w:sdt>
          <w:sdt>
            <w:sdtPr>
              <w:rPr>
                <w:szCs w:val="21"/>
              </w:rPr>
              <w:alias w:val="递延所得税资产明细"/>
              <w:tag w:val="_GBC_78d44848a87d4473a54948d3e2adbb46"/>
              <w:id w:val="25154984"/>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25" w:type="dxa"/>
                    <w:shd w:val="clear" w:color="auto" w:fill="auto"/>
                    <w:vAlign w:val="center"/>
                  </w:tcPr>
                  <w:p>
                    <w:pPr>
                      <w:pStyle w:val="76"/>
                      <w:jc w:val="center"/>
                      <w:rPr>
                        <w:szCs w:val="21"/>
                      </w:rPr>
                    </w:pPr>
                    <w:r>
                      <w:t>水利建设基金</w:t>
                    </w:r>
                  </w:p>
                </w:tc>
                <w:tc>
                  <w:tcPr>
                    <w:tcW w:w="1686" w:type="dxa"/>
                    <w:shd w:val="clear" w:color="auto" w:fill="auto"/>
                  </w:tcPr>
                  <w:p>
                    <w:pPr>
                      <w:pStyle w:val="76"/>
                      <w:jc w:val="right"/>
                      <w:rPr>
                        <w:szCs w:val="21"/>
                      </w:rPr>
                    </w:pPr>
                    <w:r>
                      <w:t>164,423,922.19</w:t>
                    </w:r>
                  </w:p>
                </w:tc>
                <w:tc>
                  <w:tcPr>
                    <w:tcW w:w="1628" w:type="dxa"/>
                    <w:shd w:val="clear" w:color="auto" w:fill="auto"/>
                  </w:tcPr>
                  <w:p>
                    <w:pPr>
                      <w:pStyle w:val="76"/>
                      <w:jc w:val="right"/>
                      <w:rPr>
                        <w:szCs w:val="21"/>
                      </w:rPr>
                    </w:pPr>
                    <w:r>
                      <w:t>23,284,266.51</w:t>
                    </w:r>
                  </w:p>
                </w:tc>
                <w:tc>
                  <w:tcPr>
                    <w:tcW w:w="1686" w:type="dxa"/>
                    <w:shd w:val="clear" w:color="auto" w:fill="auto"/>
                  </w:tcPr>
                  <w:p>
                    <w:pPr>
                      <w:pStyle w:val="76"/>
                      <w:jc w:val="right"/>
                      <w:rPr>
                        <w:szCs w:val="21"/>
                      </w:rPr>
                    </w:pPr>
                    <w:r>
                      <w:t>155,228,443.40</w:t>
                    </w:r>
                  </w:p>
                </w:tc>
                <w:tc>
                  <w:tcPr>
                    <w:tcW w:w="1626" w:type="dxa"/>
                    <w:shd w:val="clear" w:color="auto" w:fill="auto"/>
                  </w:tcPr>
                  <w:p>
                    <w:pPr>
                      <w:pStyle w:val="76"/>
                      <w:jc w:val="right"/>
                      <w:rPr>
                        <w:szCs w:val="21"/>
                      </w:rPr>
                    </w:pPr>
                    <w:r>
                      <w:t>23,284,266.51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aff9781bbd7249709be440b59752c5c2"/>
                <w:id w:val="25154985"/>
                <w:lock w:val="sdtLocked"/>
              </w:sdtPr>
              <w:sdtContent>
                <w:tc>
                  <w:tcPr>
                    <w:tcW w:w="2425" w:type="dxa"/>
                    <w:shd w:val="clear" w:color="auto" w:fill="auto"/>
                    <w:vAlign w:val="center"/>
                  </w:tcPr>
                  <w:p>
                    <w:pPr>
                      <w:pStyle w:val="76"/>
                      <w:jc w:val="center"/>
                      <w:rPr>
                        <w:szCs w:val="21"/>
                      </w:rPr>
                    </w:pPr>
                    <w:r>
                      <w:rPr>
                        <w:rFonts w:hint="eastAsia"/>
                        <w:szCs w:val="21"/>
                      </w:rPr>
                      <w:t>合计</w:t>
                    </w:r>
                  </w:p>
                </w:tc>
              </w:sdtContent>
            </w:sdt>
            <w:tc>
              <w:tcPr>
                <w:tcW w:w="1686" w:type="dxa"/>
                <w:shd w:val="clear" w:color="auto" w:fill="auto"/>
              </w:tcPr>
              <w:p>
                <w:pPr>
                  <w:pStyle w:val="76"/>
                  <w:jc w:val="right"/>
                  <w:rPr>
                    <w:szCs w:val="21"/>
                  </w:rPr>
                </w:pPr>
                <w:r>
                  <w:rPr>
                    <w:rFonts w:hint="eastAsia"/>
                    <w:sz w:val="20"/>
                    <w:szCs w:val="20"/>
                  </w:rPr>
                  <w:t>368,623,037.36</w:t>
                </w:r>
              </w:p>
            </w:tc>
            <w:tc>
              <w:tcPr>
                <w:tcW w:w="1628" w:type="dxa"/>
                <w:shd w:val="clear" w:color="auto" w:fill="auto"/>
              </w:tcPr>
              <w:p>
                <w:pPr>
                  <w:pStyle w:val="76"/>
                  <w:jc w:val="right"/>
                  <w:rPr>
                    <w:szCs w:val="21"/>
                  </w:rPr>
                </w:pPr>
                <w:r>
                  <w:t>53,394,303.31</w:t>
                </w:r>
              </w:p>
            </w:tc>
            <w:tc>
              <w:tcPr>
                <w:tcW w:w="1686" w:type="dxa"/>
                <w:shd w:val="clear" w:color="auto" w:fill="auto"/>
              </w:tcPr>
              <w:p>
                <w:pPr>
                  <w:pStyle w:val="76"/>
                  <w:jc w:val="right"/>
                  <w:rPr>
                    <w:szCs w:val="21"/>
                  </w:rPr>
                </w:pPr>
                <w:r>
                  <w:t>355,962,022.02</w:t>
                </w:r>
              </w:p>
            </w:tc>
            <w:tc>
              <w:tcPr>
                <w:tcW w:w="1626" w:type="dxa"/>
                <w:shd w:val="clear" w:color="auto" w:fill="auto"/>
              </w:tcPr>
              <w:p>
                <w:pPr>
                  <w:pStyle w:val="76"/>
                  <w:jc w:val="right"/>
                  <w:rPr>
                    <w:szCs w:val="21"/>
                  </w:rPr>
                </w:pPr>
                <w:r>
                  <w:t>53,394,303.31</w:t>
                </w:r>
              </w:p>
            </w:tc>
          </w:tr>
        </w:tbl>
        <w:p>
          <w:pPr>
            <w:pStyle w:val="76"/>
          </w:pPr>
        </w:p>
        <w:p>
          <w:pPr>
            <w:pStyle w:val="80"/>
            <w:numPr>
              <w:ilvl w:val="0"/>
              <w:numId w:val="62"/>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2515498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80"/>
            <w:numPr>
              <w:ilvl w:val="0"/>
              <w:numId w:val="62"/>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d6419a9d2dc94127a5f6aea72cb2a94d"/>
            <w:id w:val="25154987"/>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80"/>
            <w:numPr>
              <w:ilvl w:val="0"/>
              <w:numId w:val="62"/>
            </w:numPr>
            <w:tabs>
              <w:tab w:val="left" w:pos="588"/>
              <w:tab w:val="left" w:pos="616"/>
            </w:tabs>
            <w:rPr>
              <w:rFonts w:ascii="宋体" w:hAnsi="宋体"/>
              <w:szCs w:val="21"/>
            </w:rPr>
          </w:pPr>
          <w:r>
            <w:rPr>
              <w:rFonts w:hint="eastAsia" w:ascii="宋体" w:hAnsi="宋体"/>
              <w:szCs w:val="21"/>
            </w:rPr>
            <w:t>未确认递延</w:t>
          </w:r>
          <w:r>
            <w:rPr>
              <w:rFonts w:hint="eastAsia"/>
            </w:rPr>
            <w:t>所得税</w:t>
          </w:r>
          <w:r>
            <w:rPr>
              <w:rFonts w:hint="eastAsia" w:ascii="宋体" w:hAnsi="宋体"/>
              <w:szCs w:val="21"/>
            </w:rPr>
            <w:t>资产明细</w:t>
          </w:r>
        </w:p>
        <w:sdt>
          <w:sdtPr>
            <w:alias w:val="是否适用：未确认递延所得税资产明细[双击切换]"/>
            <w:tag w:val="_GBC_f210878b05204277b5f70ed9ae786ea7"/>
            <w:id w:val="2515498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80"/>
            <w:numPr>
              <w:ilvl w:val="0"/>
              <w:numId w:val="62"/>
            </w:numPr>
            <w:tabs>
              <w:tab w:val="left" w:pos="588"/>
              <w:tab w:val="left" w:pos="616"/>
            </w:tabs>
            <w:rPr>
              <w:rFonts w:ascii="宋体" w:hAnsi="宋体"/>
              <w:szCs w:val="21"/>
            </w:rPr>
          </w:pPr>
          <w:r>
            <w:rPr>
              <w:rFonts w:hint="eastAsia" w:ascii="宋体" w:hAnsi="宋体"/>
              <w:szCs w:val="21"/>
            </w:rPr>
            <w:t>未确认递延所得税资产的可抵扣亏损将于以下年度到期</w:t>
          </w:r>
        </w:p>
        <w:sdt>
          <w:sdtPr>
            <w:alias w:val="是否适用：未确认递延所得税资产的可抵扣亏损将于以下年度到期[双击切换]"/>
            <w:tag w:val="_GBC_10d31911cedc4147b90ab71d35742bf4"/>
            <w:id w:val="25154989"/>
            <w:lock w:val="sdtContentLocked"/>
            <w:placeholder>
              <w:docPart w:val="GBC22222222222222222222222222222"/>
            </w:placeholder>
          </w:sdtPr>
          <w:sdtContent>
            <w:p>
              <w:pPr>
                <w:pStyle w:val="76"/>
                <w:rPr>
                  <w:color w:val="FF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递延所得税资产和递延所得税负债的说明"/>
        <w:tag w:val="_GBC_057749240d604d9ab0db94f6e505935f"/>
        <w:id w:val="25154992"/>
        <w:lock w:val="sdtLocked"/>
        <w:placeholder>
          <w:docPart w:val="GBC22222222222222222222222222222"/>
        </w:placeholder>
      </w:sdtPr>
      <w:sdtEndPr>
        <w:rPr>
          <w:rFonts w:hint="default"/>
          <w:szCs w:val="21"/>
        </w:rPr>
      </w:sdtEndPr>
      <w:sdtContent>
        <w:p>
          <w:pPr>
            <w:pStyle w:val="76"/>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25154991"/>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ascii="宋体" w:hAnsi="宋体" w:cs="宋体"/>
          <w:b w:val="0"/>
          <w:bCs w:val="0"/>
          <w:kern w:val="0"/>
          <w:szCs w:val="21"/>
        </w:rPr>
        <w:alias w:val="模块:其他非流动资产"/>
        <w:tag w:val="_GBC_b8db472f168c433c9cdb46a39ab78b50"/>
        <w:id w:val="2515499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szCs w:val="21"/>
            </w:rPr>
          </w:pPr>
          <w:r>
            <w:rPr>
              <w:rFonts w:hint="eastAsia"/>
              <w:szCs w:val="21"/>
            </w:rPr>
            <w:t>其他非流动资产</w:t>
          </w:r>
        </w:p>
        <w:sdt>
          <w:sdtPr>
            <w:alias w:val="是否适用：其他非流动资产[双击切换]"/>
            <w:tag w:val="_GBC_227882aeaa9b4aa98d6af8bcac2af7a5"/>
            <w:id w:val="2515499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短期借款</w:t>
      </w:r>
    </w:p>
    <w:sdt>
      <w:sdtPr>
        <w:rPr>
          <w:rFonts w:hint="eastAsia" w:ascii="宋体" w:hAnsi="宋体" w:cs="宋体"/>
          <w:b w:val="0"/>
          <w:bCs w:val="0"/>
          <w:kern w:val="0"/>
          <w:szCs w:val="21"/>
        </w:rPr>
        <w:alias w:val="模块:短期借款分类"/>
        <w:tag w:val="_GBC_7bd2428d8b3140c1a80e7a88bb928c1f"/>
        <w:id w:val="25155007"/>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80"/>
            <w:numPr>
              <w:ilvl w:val="0"/>
              <w:numId w:val="63"/>
            </w:numPr>
            <w:tabs>
              <w:tab w:val="left" w:pos="630"/>
            </w:tabs>
            <w:rPr>
              <w:rFonts w:ascii="宋体" w:hAnsi="宋体"/>
              <w:szCs w:val="21"/>
            </w:rPr>
          </w:pPr>
          <w:r>
            <w:rPr>
              <w:rFonts w:hint="eastAsia" w:ascii="宋体" w:hAnsi="宋体"/>
              <w:szCs w:val="21"/>
            </w:rPr>
            <w:t>短期借款分类</w:t>
          </w:r>
        </w:p>
        <w:sdt>
          <w:sdtPr>
            <w:alias w:val="是否适用：短期借款分类[双击切换]"/>
            <w:tag w:val="_GBC_1074387a68b64f6b9270b522de53ad85"/>
            <w:id w:val="2515499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短期借款分类"/>
              <w:tag w:val="_GBC_f3353209b65c4921b63143340e11aac9"/>
              <w:id w:val="251549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5154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71"/>
            <w:gridCol w:w="300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3476605067da474199aa03dc83e3d88c"/>
                <w:id w:val="25154998"/>
                <w:lock w:val="sdtLocked"/>
              </w:sdtPr>
              <w:sdtContent>
                <w:tc>
                  <w:tcPr>
                    <w:tcW w:w="2871" w:type="dxa"/>
                    <w:vAlign w:val="center"/>
                  </w:tcPr>
                  <w:p>
                    <w:pPr>
                      <w:pStyle w:val="76"/>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25154999"/>
                <w:lock w:val="sdtLocked"/>
              </w:sdtPr>
              <w:sdtContent>
                <w:tc>
                  <w:tcPr>
                    <w:tcW w:w="3002" w:type="dxa"/>
                    <w:vAlign w:val="center"/>
                  </w:tcPr>
                  <w:p>
                    <w:pPr>
                      <w:pStyle w:val="76"/>
                      <w:jc w:val="center"/>
                      <w:rPr>
                        <w:color w:val="000000" w:themeColor="text1"/>
                        <w:szCs w:val="21"/>
                      </w:rPr>
                    </w:pPr>
                    <w:r>
                      <w:rPr>
                        <w:rFonts w:hint="eastAsia"/>
                        <w:color w:val="000000" w:themeColor="text1"/>
                        <w:szCs w:val="21"/>
                      </w:rPr>
                      <w:t>期末余额</w:t>
                    </w:r>
                  </w:p>
                </w:tc>
              </w:sdtContent>
            </w:sdt>
            <w:sdt>
              <w:sdtPr>
                <w:tag w:val="_PLD_c16f582c583d4324abc605c4bc563081"/>
                <w:id w:val="25155000"/>
                <w:lock w:val="sdtLocked"/>
              </w:sdtPr>
              <w:sdtContent>
                <w:tc>
                  <w:tcPr>
                    <w:tcW w:w="3020" w:type="dxa"/>
                    <w:vAlign w:val="center"/>
                  </w:tcPr>
                  <w:p>
                    <w:pPr>
                      <w:pStyle w:val="76"/>
                      <w:jc w:val="center"/>
                      <w:rPr>
                        <w:color w:val="000000" w:themeColor="text1"/>
                        <w:szCs w:val="21"/>
                      </w:rPr>
                    </w:pPr>
                    <w:r>
                      <w:rPr>
                        <w:rFonts w:hint="eastAsia"/>
                        <w:color w:val="000000" w:themeColor="text1"/>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0e8c36451cb04874b50771df2ac75104"/>
                <w:id w:val="25155001"/>
                <w:lock w:val="sdtLocked"/>
              </w:sdtPr>
              <w:sdtContent>
                <w:tc>
                  <w:tcPr>
                    <w:tcW w:w="2871" w:type="dxa"/>
                    <w:shd w:val="clear" w:color="auto" w:fill="auto"/>
                  </w:tcPr>
                  <w:p>
                    <w:pPr>
                      <w:pStyle w:val="76"/>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3002" w:type="dxa"/>
                <w:shd w:val="clear" w:color="auto" w:fill="auto"/>
              </w:tcPr>
              <w:p>
                <w:pPr>
                  <w:pStyle w:val="76"/>
                  <w:autoSpaceDE w:val="0"/>
                  <w:autoSpaceDN w:val="0"/>
                  <w:adjustRightInd w:val="0"/>
                  <w:snapToGrid w:val="0"/>
                  <w:spacing w:line="240" w:lineRule="atLeast"/>
                  <w:ind w:right="180"/>
                  <w:jc w:val="right"/>
                  <w:rPr>
                    <w:szCs w:val="21"/>
                  </w:rPr>
                </w:pPr>
              </w:p>
            </w:tc>
            <w:tc>
              <w:tcPr>
                <w:tcW w:w="3020" w:type="dxa"/>
                <w:shd w:val="clear" w:color="auto" w:fill="auto"/>
              </w:tcPr>
              <w:p>
                <w:pPr>
                  <w:pStyle w:val="76"/>
                  <w:autoSpaceDE w:val="0"/>
                  <w:autoSpaceDN w:val="0"/>
                  <w:adjustRightInd w:val="0"/>
                  <w:snapToGrid w:val="0"/>
                  <w:spacing w:line="240" w:lineRule="atLeast"/>
                  <w:ind w:right="180"/>
                  <w:jc w:val="right"/>
                  <w:rPr>
                    <w:szCs w:val="21"/>
                  </w:rPr>
                </w:pPr>
                <w:r>
                  <w:t>130,000,000.00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175aee4cc1e24ae397a153f47913ca90"/>
                <w:id w:val="25155002"/>
                <w:lock w:val="sdtLocked"/>
              </w:sdtPr>
              <w:sdtContent>
                <w:tc>
                  <w:tcPr>
                    <w:tcW w:w="2871" w:type="dxa"/>
                    <w:shd w:val="clear" w:color="auto" w:fill="auto"/>
                  </w:tcPr>
                  <w:p>
                    <w:pPr>
                      <w:pStyle w:val="76"/>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3002" w:type="dxa"/>
                <w:shd w:val="clear" w:color="auto" w:fill="auto"/>
              </w:tcPr>
              <w:p>
                <w:pPr>
                  <w:pStyle w:val="76"/>
                  <w:autoSpaceDE w:val="0"/>
                  <w:autoSpaceDN w:val="0"/>
                  <w:adjustRightInd w:val="0"/>
                  <w:snapToGrid w:val="0"/>
                  <w:spacing w:line="240" w:lineRule="atLeast"/>
                  <w:ind w:right="180"/>
                  <w:jc w:val="right"/>
                  <w:rPr>
                    <w:szCs w:val="21"/>
                  </w:rPr>
                </w:pPr>
                <w:r>
                  <w:t>347,173,002.00</w:t>
                </w:r>
              </w:p>
            </w:tc>
            <w:tc>
              <w:tcPr>
                <w:tcW w:w="3020" w:type="dxa"/>
                <w:shd w:val="clear" w:color="auto" w:fill="auto"/>
              </w:tcPr>
              <w:p>
                <w:pPr>
                  <w:pStyle w:val="76"/>
                  <w:autoSpaceDE w:val="0"/>
                  <w:autoSpaceDN w:val="0"/>
                  <w:adjustRightInd w:val="0"/>
                  <w:snapToGrid w:val="0"/>
                  <w:spacing w:line="240" w:lineRule="atLeast"/>
                  <w:ind w:right="180"/>
                  <w:jc w:val="right"/>
                  <w:rPr>
                    <w:szCs w:val="21"/>
                  </w:rPr>
                </w:pPr>
                <w:r>
                  <w:t>342,849,474.00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683943eeaad3404fa9922b66239868d3"/>
                <w:id w:val="25155003"/>
                <w:lock w:val="sdtLocked"/>
              </w:sdtPr>
              <w:sdtContent>
                <w:tc>
                  <w:tcPr>
                    <w:tcW w:w="2871" w:type="dxa"/>
                    <w:shd w:val="clear" w:color="auto" w:fill="auto"/>
                  </w:tcPr>
                  <w:p>
                    <w:pPr>
                      <w:pStyle w:val="76"/>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3002" w:type="dxa"/>
                <w:shd w:val="clear" w:color="auto" w:fill="auto"/>
              </w:tcPr>
              <w:p>
                <w:pPr>
                  <w:pStyle w:val="76"/>
                  <w:autoSpaceDE w:val="0"/>
                  <w:autoSpaceDN w:val="0"/>
                  <w:adjustRightInd w:val="0"/>
                  <w:snapToGrid w:val="0"/>
                  <w:spacing w:line="240" w:lineRule="atLeast"/>
                  <w:ind w:right="180"/>
                  <w:jc w:val="right"/>
                  <w:rPr>
                    <w:szCs w:val="21"/>
                  </w:rPr>
                </w:pPr>
                <w:r>
                  <w:t>5,820,662,614.96</w:t>
                </w:r>
              </w:p>
            </w:tc>
            <w:tc>
              <w:tcPr>
                <w:tcW w:w="3020" w:type="dxa"/>
                <w:shd w:val="clear" w:color="auto" w:fill="auto"/>
              </w:tcPr>
              <w:p>
                <w:pPr>
                  <w:pStyle w:val="76"/>
                  <w:autoSpaceDE w:val="0"/>
                  <w:autoSpaceDN w:val="0"/>
                  <w:adjustRightInd w:val="0"/>
                  <w:snapToGrid w:val="0"/>
                  <w:spacing w:line="240" w:lineRule="atLeast"/>
                  <w:ind w:right="180"/>
                  <w:jc w:val="right"/>
                  <w:rPr>
                    <w:szCs w:val="21"/>
                  </w:rPr>
                </w:pPr>
                <w:r>
                  <w:t>5,290,056,001.56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37" w:hRule="atLeast"/>
            </w:trPr>
            <w:sdt>
              <w:sdtPr>
                <w:tag w:val="_PLD_ac3f684241c3446d8157cc100dc691d8"/>
                <w:id w:val="25155004"/>
                <w:lock w:val="sdtLocked"/>
              </w:sdtPr>
              <w:sdtContent>
                <w:tc>
                  <w:tcPr>
                    <w:tcW w:w="2871" w:type="dxa"/>
                    <w:shd w:val="clear" w:color="auto" w:fill="auto"/>
                  </w:tcPr>
                  <w:p>
                    <w:pPr>
                      <w:pStyle w:val="76"/>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3002" w:type="dxa"/>
                <w:shd w:val="clear" w:color="auto" w:fill="auto"/>
              </w:tcPr>
              <w:p>
                <w:pPr>
                  <w:pStyle w:val="76"/>
                  <w:autoSpaceDE w:val="0"/>
                  <w:autoSpaceDN w:val="0"/>
                  <w:adjustRightInd w:val="0"/>
                  <w:snapToGrid w:val="0"/>
                  <w:spacing w:line="240" w:lineRule="atLeast"/>
                  <w:ind w:right="180"/>
                  <w:jc w:val="right"/>
                  <w:rPr>
                    <w:szCs w:val="21"/>
                  </w:rPr>
                </w:pPr>
                <w:r>
                  <w:t>837,255,495.78</w:t>
                </w:r>
              </w:p>
            </w:tc>
            <w:tc>
              <w:tcPr>
                <w:tcW w:w="3020" w:type="dxa"/>
                <w:shd w:val="clear" w:color="auto" w:fill="auto"/>
              </w:tcPr>
              <w:p>
                <w:pPr>
                  <w:pStyle w:val="76"/>
                  <w:autoSpaceDE w:val="0"/>
                  <w:autoSpaceDN w:val="0"/>
                  <w:adjustRightInd w:val="0"/>
                  <w:snapToGrid w:val="0"/>
                  <w:spacing w:line="240" w:lineRule="atLeast"/>
                  <w:ind w:right="180"/>
                  <w:jc w:val="right"/>
                  <w:rPr>
                    <w:szCs w:val="21"/>
                  </w:rPr>
                </w:pPr>
                <w:r>
                  <w:t>957,970,447.33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d743f636779d41b799b60f4fd4a017df"/>
                <w:id w:val="25155005"/>
                <w:lock w:val="sdtLocked"/>
              </w:sdtPr>
              <w:sdtContent>
                <w:tc>
                  <w:tcPr>
                    <w:tcW w:w="2871" w:type="dxa"/>
                    <w:vAlign w:val="center"/>
                  </w:tcPr>
                  <w:p>
                    <w:pPr>
                      <w:pStyle w:val="76"/>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3002" w:type="dxa"/>
              </w:tcPr>
              <w:p>
                <w:pPr>
                  <w:pStyle w:val="76"/>
                  <w:autoSpaceDE w:val="0"/>
                  <w:autoSpaceDN w:val="0"/>
                  <w:adjustRightInd w:val="0"/>
                  <w:snapToGrid w:val="0"/>
                  <w:spacing w:line="240" w:lineRule="atLeast"/>
                  <w:ind w:right="180"/>
                  <w:jc w:val="right"/>
                  <w:rPr>
                    <w:color w:val="000000" w:themeColor="text1"/>
                    <w:szCs w:val="21"/>
                  </w:rPr>
                </w:pPr>
                <w:r>
                  <w:rPr>
                    <w:rFonts w:hint="eastAsia"/>
                    <w:color w:val="000000" w:themeColor="text1"/>
                    <w:szCs w:val="21"/>
                  </w:rPr>
                  <w:t>7,005,091,112.74</w:t>
                </w:r>
              </w:p>
            </w:tc>
            <w:tc>
              <w:tcPr>
                <w:tcW w:w="3020" w:type="dxa"/>
              </w:tcPr>
              <w:p>
                <w:pPr>
                  <w:pStyle w:val="76"/>
                  <w:autoSpaceDE w:val="0"/>
                  <w:autoSpaceDN w:val="0"/>
                  <w:adjustRightInd w:val="0"/>
                  <w:snapToGrid w:val="0"/>
                  <w:spacing w:line="240" w:lineRule="atLeast"/>
                  <w:ind w:right="180"/>
                  <w:jc w:val="right"/>
                  <w:rPr>
                    <w:szCs w:val="21"/>
                  </w:rPr>
                </w:pPr>
                <w:r>
                  <w:t>6,720,875,922.89</w:t>
                </w:r>
              </w:p>
            </w:tc>
          </w:tr>
        </w:tbl>
        <w:p>
          <w:pPr>
            <w:pStyle w:val="76"/>
          </w:pPr>
        </w:p>
        <w:p>
          <w:pPr>
            <w:pStyle w:val="76"/>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25155006"/>
            <w:lock w:val="sdtLocked"/>
            <w:placeholder>
              <w:docPart w:val="GBC22222222222222222222222222222"/>
            </w:placeholder>
          </w:sdtPr>
          <w:sdtEndPr>
            <w:rPr>
              <w:szCs w:val="21"/>
            </w:rPr>
          </w:sdtEndPr>
          <w:sdtContent>
            <w:p>
              <w:pPr>
                <w:pStyle w:val="76"/>
                <w:snapToGrid w:val="0"/>
                <w:spacing w:line="240" w:lineRule="atLeast"/>
                <w:rPr>
                  <w:color w:val="000000" w:themeColor="text1"/>
                  <w:szCs w:val="21"/>
                </w:rPr>
              </w:pPr>
              <w:r>
                <w:rPr>
                  <w:rFonts w:hint="eastAsia"/>
                  <w:szCs w:val="21"/>
                </w:rPr>
                <w:t>本公司按照取得短期借款的方式或条件确定借款类别</w:t>
              </w:r>
            </w:p>
          </w:sdtContent>
        </w:sdt>
      </w:sdtContent>
    </w:sdt>
    <w:p>
      <w:pPr>
        <w:pStyle w:val="76"/>
        <w:snapToGrid w:val="0"/>
        <w:spacing w:line="240" w:lineRule="atLeast"/>
        <w:ind w:right="-153" w:rightChars="-73"/>
        <w:rPr>
          <w:b/>
          <w:szCs w:val="21"/>
        </w:rPr>
      </w:pPr>
    </w:p>
    <w:sdt>
      <w:sdtPr>
        <w:rPr>
          <w:rFonts w:hint="eastAsia" w:ascii="宋体" w:hAnsi="宋体" w:cs="宋体"/>
          <w:b w:val="0"/>
          <w:bCs w:val="0"/>
          <w:kern w:val="0"/>
          <w:szCs w:val="21"/>
        </w:rPr>
        <w:alias w:val="模块:已到期未偿还的短期借款情况"/>
        <w:tag w:val="_GBC_ed2a6c31b7cf49cda098dbe4c44cf674"/>
        <w:id w:val="25155009"/>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80"/>
            <w:numPr>
              <w:ilvl w:val="0"/>
              <w:numId w:val="63"/>
            </w:numPr>
            <w:tabs>
              <w:tab w:val="left" w:pos="630"/>
            </w:tabs>
            <w:rPr>
              <w:rFonts w:ascii="宋体" w:hAnsi="宋体"/>
              <w:szCs w:val="21"/>
            </w:rPr>
          </w:pPr>
          <w:r>
            <w:rPr>
              <w:rFonts w:hint="eastAsia" w:ascii="宋体" w:hAnsi="宋体"/>
              <w:szCs w:val="21"/>
            </w:rPr>
            <w:t>已逾期未偿还的短期借款情况</w:t>
          </w:r>
        </w:p>
        <w:sdt>
          <w:sdtPr>
            <w:alias w:val="是否适用：已逾期未偿还的短期借款情况[双击切换]"/>
            <w:tag w:val="_GBC_57f74ff95a304f19a7c06d7996fc30c7"/>
            <w:id w:val="2515500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25155011"/>
        <w:lock w:val="sdtLocked"/>
        <w:placeholder>
          <w:docPart w:val="GBC22222222222222222222222222222"/>
        </w:placeholder>
      </w:sdtPr>
      <w:sdtEndPr>
        <w:rPr>
          <w:rFonts w:hint="eastAsia"/>
          <w:szCs w:val="21"/>
        </w:rPr>
      </w:sdtEndPr>
      <w:sdtContent>
        <w:p>
          <w:pPr>
            <w:pStyle w:val="76"/>
            <w:rPr>
              <w:szCs w:val="21"/>
            </w:rPr>
          </w:pPr>
          <w:r>
            <w:rPr>
              <w:rFonts w:hint="eastAsia"/>
              <w:szCs w:val="21"/>
            </w:rPr>
            <w:t>其他说明</w:t>
          </w:r>
        </w:p>
        <w:sdt>
          <w:sdtPr>
            <w:rPr>
              <w:szCs w:val="21"/>
            </w:rPr>
            <w:alias w:val="是否适用：短期借款的说明[双击切换]"/>
            <w:tag w:val="_GBC_663e3ee6df014147bb9c7daa18ccb062"/>
            <w:id w:val="25155010"/>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sdt>
      <w:sdtPr>
        <w:rPr>
          <w:rFonts w:hint="eastAsia" w:ascii="宋体" w:hAnsi="宋体" w:cs="宋体"/>
          <w:b w:val="0"/>
          <w:bCs w:val="0"/>
          <w:kern w:val="0"/>
          <w:szCs w:val="21"/>
        </w:rPr>
        <w:alias w:val="模块:交易性金融负债"/>
        <w:tag w:val="_GBC_331118ad6582401f9bcc88cf777478c2"/>
        <w:id w:val="25155013"/>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pPr>
          <w:bookmarkStart w:id="52" w:name="OLE_LINK31"/>
          <w:bookmarkStart w:id="53" w:name="OLE_LINK32"/>
          <w:bookmarkStart w:id="54" w:name="OLE_LINK33"/>
          <w:r>
            <w:rPr>
              <w:rFonts w:hint="eastAsia"/>
            </w:rPr>
            <w:t>以</w:t>
          </w:r>
          <w:r>
            <w:rPr>
              <w:rFonts w:hint="eastAsia" w:ascii="宋体" w:hAnsi="宋体"/>
              <w:szCs w:val="21"/>
            </w:rPr>
            <w:t>公允</w:t>
          </w:r>
          <w:r>
            <w:rPr>
              <w:rFonts w:hint="eastAsia"/>
            </w:rPr>
            <w:t>价值计量且其变动计入当期损益的金融负债</w:t>
          </w:r>
          <w:bookmarkEnd w:id="52"/>
          <w:bookmarkEnd w:id="53"/>
          <w:bookmarkEnd w:id="54"/>
        </w:p>
        <w:sdt>
          <w:sdtPr>
            <w:alias w:val="是否适用：以公允价值计量且其变动计入当期损益的金融负债[双击切换]"/>
            <w:tag w:val="_GBC_5792474fc3994ad18ad7a7fa1cf7a796"/>
            <w:id w:val="2515501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sdtContent>
    </w:sdt>
    <w:p>
      <w:pPr>
        <w:pStyle w:val="76"/>
        <w:rPr>
          <w:szCs w:val="21"/>
        </w:rPr>
      </w:pPr>
    </w:p>
    <w:sdt>
      <w:sdtPr>
        <w:rPr>
          <w:rFonts w:hint="eastAsia" w:ascii="宋体" w:hAnsi="宋体" w:cs="宋体"/>
          <w:b w:val="0"/>
          <w:bCs w:val="0"/>
          <w:kern w:val="0"/>
          <w:szCs w:val="21"/>
        </w:rPr>
        <w:alias w:val="模块:衍生金融负债"/>
        <w:tag w:val="_GBC_c6a901495ec44a7798e3a75ddb5e06bf"/>
        <w:id w:val="25155015"/>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25155014"/>
            <w:lock w:val="sdtContentLocked"/>
            <w:placeholder>
              <w:docPart w:val="GBC22222222222222222222222222222"/>
            </w:placeholder>
          </w:sdtPr>
          <w:sdtEndPr>
            <w:rPr>
              <w:szCs w:val="21"/>
            </w:rPr>
          </w:sdtEndPr>
          <w:sdtContent>
            <w:p>
              <w:pPr>
                <w:pStyle w:val="76"/>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p>
      <w:pPr>
        <w:pStyle w:val="76"/>
        <w:rPr>
          <w:szCs w:val="21"/>
        </w:rPr>
      </w:pPr>
    </w:p>
    <w:p>
      <w:pPr>
        <w:pStyle w:val="79"/>
        <w:numPr>
          <w:ilvl w:val="0"/>
          <w:numId w:val="46"/>
        </w:numPr>
        <w:tabs>
          <w:tab w:val="left" w:pos="504"/>
        </w:tabs>
      </w:pPr>
      <w:r>
        <w:rPr>
          <w:rFonts w:hint="eastAsia"/>
        </w:rPr>
        <w:t>应付票据</w:t>
      </w:r>
    </w:p>
    <w:sdt>
      <w:sdtPr>
        <w:alias w:val="是否适用：应付票据[双击切换]"/>
        <w:tag w:val="_GBC_57c67181b34944e782b23a48b1843e8f"/>
        <w:id w:val="2515501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应付票据"/>
        <w:tag w:val="_GBC_f775232a0064490db4bc153f66e9f48e"/>
        <w:id w:val="25155026"/>
        <w:lock w:val="sdtLocked"/>
        <w:placeholder>
          <w:docPart w:val="GBC22222222222222222222222222222"/>
        </w:placeholder>
      </w:sdtPr>
      <w:sdtEndPr>
        <w:rPr>
          <w:rFonts w:hint="default" w:cstheme="minorBidi"/>
          <w:b w:val="0"/>
          <w:bCs w:val="0"/>
          <w:szCs w:val="21"/>
        </w:rPr>
      </w:sdtEndPr>
      <w:sdtContent>
        <w:p>
          <w:pPr>
            <w:pStyle w:val="76"/>
            <w:jc w:val="right"/>
          </w:pPr>
          <w:r>
            <w:rPr>
              <w:rFonts w:hint="eastAsia"/>
            </w:rPr>
            <w:t>单位：</w:t>
          </w:r>
          <w:sdt>
            <w:sdtPr>
              <w:rPr>
                <w:rFonts w:hint="eastAsia"/>
              </w:rPr>
              <w:alias w:val="单位：财务附注：应付票据"/>
              <w:tag w:val="_GBC_db69c246a0d14735805df636930e34ba"/>
              <w:id w:val="251550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25155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88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311"/>
            <w:gridCol w:w="3338"/>
            <w:gridCol w:w="3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sdt>
              <w:sdtPr>
                <w:tag w:val="_PLD_faa4f5cfe5ae4b0a9c786ca922191e7e"/>
                <w:id w:val="25155019"/>
                <w:lock w:val="sdtLocked"/>
              </w:sdtPr>
              <w:sdtContent>
                <w:tc>
                  <w:tcPr>
                    <w:tcW w:w="2311"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25155020"/>
                <w:lock w:val="sdtLocked"/>
              </w:sdtPr>
              <w:sdtContent>
                <w:tc>
                  <w:tcPr>
                    <w:tcW w:w="3338"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25155021"/>
                <w:lock w:val="sdtLocked"/>
              </w:sdtPr>
              <w:sdtContent>
                <w:tc>
                  <w:tcPr>
                    <w:tcW w:w="3244"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sdt>
              <w:sdtPr>
                <w:tag w:val="_PLD_612dd94d183548b6a311a7688699608c"/>
                <w:id w:val="25155022"/>
                <w:lock w:val="sdtLocked"/>
              </w:sdtPr>
              <w:sdtContent>
                <w:tc>
                  <w:tcPr>
                    <w:tcW w:w="2311" w:type="dxa"/>
                    <w:tcBorders>
                      <w:top w:val="single" w:color="auto" w:sz="6" w:space="0"/>
                      <w:left w:val="single" w:color="auto" w:sz="6" w:space="0"/>
                      <w:bottom w:val="single" w:color="auto" w:sz="6" w:space="0"/>
                      <w:right w:val="single" w:color="auto" w:sz="6" w:space="0"/>
                    </w:tcBorders>
                    <w:shd w:val="clear" w:color="auto" w:fill="auto"/>
                  </w:tcPr>
                  <w:p>
                    <w:pPr>
                      <w:pStyle w:val="76"/>
                      <w:autoSpaceDE w:val="0"/>
                      <w:autoSpaceDN w:val="0"/>
                      <w:adjustRightInd w:val="0"/>
                      <w:snapToGrid w:val="0"/>
                      <w:spacing w:line="240" w:lineRule="atLeast"/>
                      <w:rPr>
                        <w:szCs w:val="21"/>
                      </w:rPr>
                    </w:pPr>
                    <w:r>
                      <w:rPr>
                        <w:rFonts w:hint="eastAsia"/>
                        <w:szCs w:val="21"/>
                      </w:rPr>
                      <w:t>商业承兑汇票</w:t>
                    </w:r>
                  </w:p>
                </w:tc>
              </w:sdtContent>
            </w:sdt>
            <w:tc>
              <w:tcPr>
                <w:tcW w:w="3338" w:type="dxa"/>
                <w:tcBorders>
                  <w:top w:val="single" w:color="auto" w:sz="6" w:space="0"/>
                  <w:left w:val="single" w:color="auto" w:sz="6" w:space="0"/>
                  <w:bottom w:val="single" w:color="auto" w:sz="6" w:space="0"/>
                  <w:right w:val="single" w:color="auto" w:sz="6" w:space="0"/>
                </w:tcBorders>
                <w:shd w:val="clear" w:color="auto" w:fill="auto"/>
              </w:tcPr>
              <w:p>
                <w:pPr>
                  <w:pStyle w:val="76"/>
                  <w:ind w:right="13"/>
                  <w:jc w:val="right"/>
                  <w:rPr>
                    <w:szCs w:val="21"/>
                  </w:rPr>
                </w:pPr>
                <w:r>
                  <w:t>154,500,000.00</w:t>
                </w:r>
              </w:p>
            </w:tc>
            <w:tc>
              <w:tcPr>
                <w:tcW w:w="3244" w:type="dxa"/>
                <w:tcBorders>
                  <w:top w:val="single" w:color="auto" w:sz="6" w:space="0"/>
                  <w:left w:val="single" w:color="auto" w:sz="6" w:space="0"/>
                  <w:bottom w:val="single" w:color="auto" w:sz="6" w:space="0"/>
                  <w:right w:val="single" w:color="auto" w:sz="6" w:space="0"/>
                </w:tcBorders>
                <w:shd w:val="clear" w:color="auto" w:fill="auto"/>
              </w:tcPr>
              <w:p>
                <w:pPr>
                  <w:pStyle w:val="76"/>
                  <w:jc w:val="right"/>
                  <w:rPr>
                    <w:szCs w:val="21"/>
                  </w:rPr>
                </w:pPr>
                <w:r>
                  <w:t>121,000,000.00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sdt>
              <w:sdtPr>
                <w:tag w:val="_PLD_a78177bc2f9c4e819670fb289b9d6192"/>
                <w:id w:val="25155023"/>
                <w:lock w:val="sdtLocked"/>
              </w:sdtPr>
              <w:sdtContent>
                <w:tc>
                  <w:tcPr>
                    <w:tcW w:w="2311" w:type="dxa"/>
                    <w:tcBorders>
                      <w:top w:val="single" w:color="auto" w:sz="6" w:space="0"/>
                      <w:left w:val="single" w:color="auto" w:sz="6" w:space="0"/>
                      <w:bottom w:val="single" w:color="auto" w:sz="6" w:space="0"/>
                      <w:right w:val="single" w:color="auto" w:sz="6" w:space="0"/>
                    </w:tcBorders>
                    <w:shd w:val="clear" w:color="auto" w:fill="auto"/>
                  </w:tcPr>
                  <w:p>
                    <w:pPr>
                      <w:pStyle w:val="76"/>
                      <w:autoSpaceDE w:val="0"/>
                      <w:autoSpaceDN w:val="0"/>
                      <w:adjustRightInd w:val="0"/>
                      <w:snapToGrid w:val="0"/>
                      <w:spacing w:line="240" w:lineRule="atLeast"/>
                      <w:rPr>
                        <w:szCs w:val="21"/>
                      </w:rPr>
                    </w:pPr>
                    <w:r>
                      <w:rPr>
                        <w:rFonts w:hint="eastAsia"/>
                        <w:szCs w:val="21"/>
                      </w:rPr>
                      <w:t>银行承兑汇票</w:t>
                    </w:r>
                  </w:p>
                </w:tc>
              </w:sdtContent>
            </w:sdt>
            <w:tc>
              <w:tcPr>
                <w:tcW w:w="3338" w:type="dxa"/>
                <w:tcBorders>
                  <w:top w:val="single" w:color="auto" w:sz="6" w:space="0"/>
                  <w:left w:val="single" w:color="auto" w:sz="6" w:space="0"/>
                  <w:bottom w:val="single" w:color="auto" w:sz="6" w:space="0"/>
                  <w:right w:val="single" w:color="auto" w:sz="6" w:space="0"/>
                </w:tcBorders>
                <w:shd w:val="clear" w:color="auto" w:fill="auto"/>
              </w:tcPr>
              <w:p>
                <w:pPr>
                  <w:pStyle w:val="76"/>
                  <w:ind w:right="13"/>
                  <w:jc w:val="right"/>
                  <w:rPr>
                    <w:szCs w:val="21"/>
                  </w:rPr>
                </w:pPr>
                <w:r>
                  <w:t>909,500,000.00</w:t>
                </w:r>
              </w:p>
            </w:tc>
            <w:tc>
              <w:tcPr>
                <w:tcW w:w="3244" w:type="dxa"/>
                <w:tcBorders>
                  <w:top w:val="single" w:color="auto" w:sz="6" w:space="0"/>
                  <w:left w:val="single" w:color="auto" w:sz="6" w:space="0"/>
                  <w:bottom w:val="single" w:color="auto" w:sz="6" w:space="0"/>
                  <w:right w:val="single" w:color="auto" w:sz="6" w:space="0"/>
                </w:tcBorders>
                <w:shd w:val="clear" w:color="auto" w:fill="auto"/>
              </w:tcPr>
              <w:p>
                <w:pPr>
                  <w:pStyle w:val="76"/>
                  <w:jc w:val="right"/>
                  <w:rPr>
                    <w:szCs w:val="21"/>
                  </w:rPr>
                </w:pPr>
                <w:r>
                  <w:t>2,255,200,000.00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sdt>
              <w:sdtPr>
                <w:tag w:val="_PLD_91c7e1de96284cd2994cfcf7c0e798dc"/>
                <w:id w:val="25155024"/>
                <w:lock w:val="sdtLocked"/>
              </w:sdtPr>
              <w:sdtContent>
                <w:tc>
                  <w:tcPr>
                    <w:tcW w:w="2311"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3338" w:type="dxa"/>
                <w:tcBorders>
                  <w:top w:val="single" w:color="auto" w:sz="6" w:space="0"/>
                  <w:left w:val="single" w:color="auto" w:sz="6" w:space="0"/>
                  <w:bottom w:val="single" w:color="auto" w:sz="6" w:space="0"/>
                  <w:right w:val="single" w:color="auto" w:sz="6" w:space="0"/>
                </w:tcBorders>
              </w:tcPr>
              <w:p>
                <w:pPr>
                  <w:pStyle w:val="76"/>
                  <w:jc w:val="right"/>
                  <w:rPr>
                    <w:szCs w:val="21"/>
                  </w:rPr>
                </w:pPr>
                <w:r>
                  <w:t>1,064,000,000.00</w:t>
                </w:r>
              </w:p>
            </w:tc>
            <w:tc>
              <w:tcPr>
                <w:tcW w:w="3244" w:type="dxa"/>
                <w:tcBorders>
                  <w:top w:val="single" w:color="auto" w:sz="6" w:space="0"/>
                  <w:left w:val="single" w:color="auto" w:sz="6" w:space="0"/>
                  <w:bottom w:val="single" w:color="auto" w:sz="6" w:space="0"/>
                  <w:right w:val="single" w:color="auto" w:sz="6" w:space="0"/>
                </w:tcBorders>
              </w:tcPr>
              <w:p>
                <w:pPr>
                  <w:pStyle w:val="76"/>
                  <w:jc w:val="right"/>
                  <w:rPr>
                    <w:szCs w:val="21"/>
                  </w:rPr>
                </w:pPr>
                <w:r>
                  <w:t>2,376,200,000.00</w:t>
                </w:r>
              </w:p>
            </w:tc>
          </w:tr>
        </w:tbl>
        <w:p>
          <w:pPr>
            <w:pStyle w:val="76"/>
          </w:pPr>
        </w:p>
        <w:p>
          <w:pPr>
            <w:pStyle w:val="76"/>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25155025"/>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sdtContent>
    </w:sdt>
    <w:p>
      <w:pPr>
        <w:pStyle w:val="76"/>
        <w:rPr>
          <w:szCs w:val="21"/>
        </w:rPr>
      </w:pPr>
    </w:p>
    <w:p>
      <w:pPr>
        <w:pStyle w:val="79"/>
        <w:numPr>
          <w:ilvl w:val="0"/>
          <w:numId w:val="46"/>
        </w:numPr>
        <w:tabs>
          <w:tab w:val="left" w:pos="504"/>
        </w:tabs>
        <w:rPr>
          <w:rFonts w:ascii="宋体" w:hAnsi="宋体"/>
          <w:szCs w:val="21"/>
        </w:rPr>
      </w:pPr>
      <w:r>
        <w:rPr>
          <w:rFonts w:hint="eastAsia"/>
        </w:rPr>
        <w:t>应付</w:t>
      </w:r>
      <w:r>
        <w:rPr>
          <w:rFonts w:hint="eastAsia" w:ascii="宋体" w:hAnsi="宋体"/>
          <w:szCs w:val="21"/>
        </w:rPr>
        <w:t>账款</w:t>
      </w:r>
    </w:p>
    <w:sdt>
      <w:sdtPr>
        <w:rPr>
          <w:rFonts w:hint="eastAsia" w:ascii="宋体" w:hAnsi="宋体" w:cs="宋体"/>
          <w:b w:val="0"/>
          <w:bCs w:val="0"/>
          <w:kern w:val="0"/>
          <w:szCs w:val="21"/>
        </w:rPr>
        <w:alias w:val="模块:应付账款情况"/>
        <w:tag w:val="_GBC_0f1b98b90c3845e1a1ad65786460f84b"/>
        <w:id w:val="25155037"/>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64"/>
            </w:numPr>
            <w:tabs>
              <w:tab w:val="left" w:pos="588"/>
            </w:tabs>
            <w:rPr>
              <w:rFonts w:ascii="宋体" w:hAnsi="宋体"/>
              <w:szCs w:val="21"/>
            </w:rPr>
          </w:pPr>
          <w:r>
            <w:rPr>
              <w:rFonts w:hint="eastAsia" w:ascii="宋体" w:hAnsi="宋体"/>
              <w:szCs w:val="21"/>
            </w:rPr>
            <w:t>应付账款列示</w:t>
          </w:r>
        </w:p>
        <w:sdt>
          <w:sdtPr>
            <w:alias w:val="是否适用：应付账款列示[双击切换]"/>
            <w:tag w:val="_GBC_8531771c226a4fb0b98e3cdaf7271c71"/>
            <w:id w:val="2515502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应付账款情况"/>
              <w:tag w:val="_GBC_53c05e3ea1bb4f08bbe5cf204a0947b9"/>
              <w:id w:val="251550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251550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67"/>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dae27caeee34d74add24cd985083c75"/>
                <w:id w:val="25155030"/>
                <w:lock w:val="sdtLocked"/>
              </w:sdtPr>
              <w:sdtContent>
                <w:tc>
                  <w:tcPr>
                    <w:tcW w:w="2841" w:type="dxa"/>
                    <w:shd w:val="clear" w:color="auto" w:fill="auto"/>
                  </w:tcPr>
                  <w:p>
                    <w:pPr>
                      <w:pStyle w:val="76"/>
                      <w:jc w:val="center"/>
                      <w:rPr>
                        <w:szCs w:val="21"/>
                      </w:rPr>
                    </w:pPr>
                    <w:r>
                      <w:rPr>
                        <w:rFonts w:hint="eastAsia"/>
                        <w:szCs w:val="21"/>
                      </w:rPr>
                      <w:t>项目</w:t>
                    </w:r>
                  </w:p>
                </w:tc>
              </w:sdtContent>
            </w:sdt>
            <w:sdt>
              <w:sdtPr>
                <w:tag w:val="_PLD_136ba417561e421ea02da8004fdf8b33"/>
                <w:id w:val="25155031"/>
                <w:lock w:val="sdtLocked"/>
              </w:sdtPr>
              <w:sdtContent>
                <w:tc>
                  <w:tcPr>
                    <w:tcW w:w="2867" w:type="dxa"/>
                    <w:shd w:val="clear" w:color="auto" w:fill="auto"/>
                  </w:tcPr>
                  <w:p>
                    <w:pPr>
                      <w:pStyle w:val="76"/>
                      <w:jc w:val="center"/>
                      <w:rPr>
                        <w:szCs w:val="21"/>
                      </w:rPr>
                    </w:pPr>
                    <w:r>
                      <w:rPr>
                        <w:rFonts w:hint="eastAsia"/>
                        <w:szCs w:val="21"/>
                      </w:rPr>
                      <w:t>期末余额</w:t>
                    </w:r>
                  </w:p>
                </w:tc>
              </w:sdtContent>
            </w:sdt>
            <w:sdt>
              <w:sdtPr>
                <w:tag w:val="_PLD_bc4b311c1ee54bd48b7b2ba2ab79c364"/>
                <w:id w:val="25155032"/>
                <w:lock w:val="sdtLocked"/>
              </w:sdtPr>
              <w:sdtContent>
                <w:tc>
                  <w:tcPr>
                    <w:tcW w:w="3341" w:type="dxa"/>
                    <w:shd w:val="clear" w:color="auto" w:fill="auto"/>
                  </w:tcPr>
                  <w:p>
                    <w:pPr>
                      <w:pStyle w:val="76"/>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25155033"/>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76"/>
                      <w:rPr>
                        <w:szCs w:val="21"/>
                      </w:rPr>
                    </w:pPr>
                    <w:r>
                      <w:t>原燃料采购款</w:t>
                    </w:r>
                  </w:p>
                </w:tc>
                <w:tc>
                  <w:tcPr>
                    <w:tcW w:w="2867" w:type="dxa"/>
                    <w:shd w:val="clear" w:color="auto" w:fill="auto"/>
                  </w:tcPr>
                  <w:p>
                    <w:pPr>
                      <w:pStyle w:val="76"/>
                      <w:jc w:val="right"/>
                      <w:rPr>
                        <w:szCs w:val="21"/>
                      </w:rPr>
                    </w:pPr>
                    <w:r>
                      <w:t>4,569,845,749.28</w:t>
                    </w:r>
                  </w:p>
                </w:tc>
                <w:tc>
                  <w:tcPr>
                    <w:tcW w:w="3341" w:type="dxa"/>
                    <w:shd w:val="clear" w:color="auto" w:fill="auto"/>
                  </w:tcPr>
                  <w:p>
                    <w:pPr>
                      <w:pStyle w:val="76"/>
                      <w:jc w:val="right"/>
                      <w:rPr>
                        <w:szCs w:val="21"/>
                      </w:rPr>
                    </w:pPr>
                    <w:r>
                      <w:t>2,832,405,373.43</w:t>
                    </w:r>
                  </w:p>
                </w:tc>
              </w:tr>
            </w:sdtContent>
          </w:sdt>
          <w:sdt>
            <w:sdtPr>
              <w:rPr>
                <w:rFonts w:hint="eastAsia"/>
                <w:szCs w:val="21"/>
              </w:rPr>
              <w:alias w:val="应付账款情况明细"/>
              <w:tag w:val="_GBC_6a9eb940fbe64774bcca168078c6adaa"/>
              <w:id w:val="2515503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76"/>
                      <w:rPr>
                        <w:szCs w:val="21"/>
                      </w:rPr>
                    </w:pPr>
                    <w:r>
                      <w:t>工程、设备款</w:t>
                    </w:r>
                  </w:p>
                </w:tc>
                <w:tc>
                  <w:tcPr>
                    <w:tcW w:w="2867" w:type="dxa"/>
                    <w:shd w:val="clear" w:color="auto" w:fill="auto"/>
                  </w:tcPr>
                  <w:p>
                    <w:pPr>
                      <w:pStyle w:val="76"/>
                      <w:jc w:val="right"/>
                      <w:rPr>
                        <w:szCs w:val="21"/>
                      </w:rPr>
                    </w:pPr>
                    <w:r>
                      <w:t>301,268,185.98</w:t>
                    </w:r>
                  </w:p>
                </w:tc>
                <w:tc>
                  <w:tcPr>
                    <w:tcW w:w="3341" w:type="dxa"/>
                    <w:shd w:val="clear" w:color="auto" w:fill="auto"/>
                  </w:tcPr>
                  <w:p>
                    <w:pPr>
                      <w:pStyle w:val="76"/>
                      <w:jc w:val="right"/>
                      <w:rPr>
                        <w:szCs w:val="21"/>
                      </w:rPr>
                    </w:pPr>
                    <w:r>
                      <w:t>300,875,071.03</w:t>
                    </w:r>
                  </w:p>
                </w:tc>
              </w:tr>
            </w:sdtContent>
          </w:sdt>
          <w:sdt>
            <w:sdtPr>
              <w:rPr>
                <w:rFonts w:hint="eastAsia"/>
                <w:szCs w:val="21"/>
              </w:rPr>
              <w:alias w:val="应付账款情况明细"/>
              <w:tag w:val="_GBC_6a9eb940fbe64774bcca168078c6adaa"/>
              <w:id w:val="2515503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76"/>
                      <w:rPr>
                        <w:szCs w:val="21"/>
                      </w:rPr>
                    </w:pPr>
                    <w:r>
                      <w:t>其他</w:t>
                    </w:r>
                  </w:p>
                </w:tc>
                <w:tc>
                  <w:tcPr>
                    <w:tcW w:w="2867" w:type="dxa"/>
                    <w:shd w:val="clear" w:color="auto" w:fill="auto"/>
                  </w:tcPr>
                  <w:p>
                    <w:pPr>
                      <w:pStyle w:val="76"/>
                      <w:jc w:val="right"/>
                      <w:rPr>
                        <w:szCs w:val="21"/>
                      </w:rPr>
                    </w:pPr>
                    <w:r>
                      <w:t>113,959,186.54</w:t>
                    </w:r>
                  </w:p>
                </w:tc>
                <w:tc>
                  <w:tcPr>
                    <w:tcW w:w="3341" w:type="dxa"/>
                    <w:shd w:val="clear" w:color="auto" w:fill="auto"/>
                  </w:tcPr>
                  <w:p>
                    <w:pPr>
                      <w:pStyle w:val="76"/>
                      <w:jc w:val="right"/>
                      <w:rPr>
                        <w:szCs w:val="21"/>
                      </w:rPr>
                    </w:pPr>
                    <w:r>
                      <w:t>118,245,186.32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82b4cb1d4fa4c8fb75bed463f2da31b"/>
                <w:id w:val="25155036"/>
                <w:lock w:val="sdtLocked"/>
              </w:sdtPr>
              <w:sdtContent>
                <w:tc>
                  <w:tcPr>
                    <w:tcW w:w="2841" w:type="dxa"/>
                    <w:shd w:val="clear" w:color="auto" w:fill="auto"/>
                  </w:tcPr>
                  <w:p>
                    <w:pPr>
                      <w:pStyle w:val="76"/>
                      <w:jc w:val="center"/>
                      <w:rPr>
                        <w:color w:val="000000" w:themeColor="text1"/>
                        <w:szCs w:val="21"/>
                      </w:rPr>
                    </w:pPr>
                    <w:r>
                      <w:rPr>
                        <w:rFonts w:hint="eastAsia"/>
                        <w:color w:val="000000" w:themeColor="text1"/>
                        <w:szCs w:val="21"/>
                      </w:rPr>
                      <w:t>合计</w:t>
                    </w:r>
                  </w:p>
                </w:tc>
              </w:sdtContent>
            </w:sdt>
            <w:tc>
              <w:tcPr>
                <w:tcW w:w="2867" w:type="dxa"/>
                <w:shd w:val="clear" w:color="auto" w:fill="auto"/>
              </w:tcPr>
              <w:p>
                <w:pPr>
                  <w:pStyle w:val="76"/>
                  <w:jc w:val="right"/>
                  <w:rPr>
                    <w:szCs w:val="21"/>
                  </w:rPr>
                </w:pPr>
                <w:r>
                  <w:t>4,985,073,121.80</w:t>
                </w:r>
              </w:p>
            </w:tc>
            <w:tc>
              <w:tcPr>
                <w:tcW w:w="3341" w:type="dxa"/>
                <w:shd w:val="clear" w:color="auto" w:fill="auto"/>
              </w:tcPr>
              <w:p>
                <w:pPr>
                  <w:pStyle w:val="76"/>
                  <w:jc w:val="right"/>
                  <w:rPr>
                    <w:szCs w:val="21"/>
                  </w:rPr>
                </w:pPr>
                <w:r>
                  <w:t>3,251,525,630.78</w:t>
                </w:r>
              </w:p>
            </w:tc>
          </w:tr>
        </w:tbl>
        <w:p>
          <w:pPr>
            <w:pStyle w:val="76"/>
          </w:pPr>
        </w:p>
      </w:sdtContent>
    </w:sdt>
    <w:p>
      <w:pPr>
        <w:pStyle w:val="76"/>
        <w:rPr>
          <w:b/>
          <w:szCs w:val="21"/>
        </w:rPr>
      </w:pPr>
    </w:p>
    <w:sdt>
      <w:sdtPr>
        <w:rPr>
          <w:rFonts w:hint="eastAsia" w:asciiTheme="minorHAnsi" w:hAnsiTheme="minorHAnsi" w:cstheme="minorBidi"/>
          <w:b w:val="0"/>
          <w:bCs w:val="0"/>
          <w:kern w:val="0"/>
          <w:szCs w:val="22"/>
        </w:rPr>
        <w:alias w:val="模块:重要的账龄超过1年的应付账款单位：元币种：人民币项目期末..."/>
        <w:tag w:val="_GBC_5fffbd1416eb408d959645d37f190cf5"/>
        <w:id w:val="25155050"/>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80"/>
            <w:numPr>
              <w:ilvl w:val="0"/>
              <w:numId w:val="64"/>
            </w:numPr>
            <w:tabs>
              <w:tab w:val="left" w:pos="588"/>
            </w:tabs>
            <w:rPr>
              <w:kern w:val="0"/>
            </w:rPr>
          </w:pPr>
          <w:r>
            <w:rPr>
              <w:rFonts w:hint="eastAsia"/>
              <w:kern w:val="0"/>
            </w:rPr>
            <w:t>账龄超过</w:t>
          </w:r>
          <w:r>
            <w:rPr>
              <w:kern w:val="0"/>
            </w:rPr>
            <w:t>1年的重要应付账款</w:t>
          </w:r>
        </w:p>
        <w:sdt>
          <w:sdtPr>
            <w:alias w:val="是否适用：账龄超过1年的重要应付账款[双击切换]"/>
            <w:tag w:val="_GBC_02c6e7ed8ae149e8a09f5b80217deb89"/>
            <w:id w:val="251550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重要的账龄超过1年的应付账款"/>
              <w:tag w:val="_GBC_4828fbb06386477f83dfc0c7b55875e7"/>
              <w:id w:val="251550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251550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82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272c72b1bc41e2a47d7fbfb0839e2b"/>
                <w:id w:val="25155041"/>
                <w:lock w:val="sdtLocked"/>
              </w:sdtPr>
              <w:sdtContent>
                <w:tc>
                  <w:tcPr>
                    <w:tcW w:w="3283" w:type="dxa"/>
                    <w:shd w:val="clear" w:color="auto" w:fill="auto"/>
                    <w:vAlign w:val="center"/>
                  </w:tcPr>
                  <w:p>
                    <w:pPr>
                      <w:pStyle w:val="76"/>
                      <w:jc w:val="center"/>
                      <w:rPr>
                        <w:szCs w:val="21"/>
                      </w:rPr>
                    </w:pPr>
                    <w:r>
                      <w:rPr>
                        <w:rFonts w:hint="eastAsia"/>
                        <w:szCs w:val="21"/>
                      </w:rPr>
                      <w:t>项目</w:t>
                    </w:r>
                  </w:p>
                </w:tc>
              </w:sdtContent>
            </w:sdt>
            <w:sdt>
              <w:sdtPr>
                <w:tag w:val="_PLD_41b9d7d7e0c84d6c9f8c3a0a59e37c14"/>
                <w:id w:val="25155042"/>
                <w:lock w:val="sdtLocked"/>
              </w:sdtPr>
              <w:sdtContent>
                <w:tc>
                  <w:tcPr>
                    <w:tcW w:w="2827" w:type="dxa"/>
                    <w:shd w:val="clear" w:color="auto" w:fill="auto"/>
                    <w:vAlign w:val="center"/>
                  </w:tcPr>
                  <w:p>
                    <w:pPr>
                      <w:pStyle w:val="76"/>
                      <w:jc w:val="center"/>
                      <w:rPr>
                        <w:szCs w:val="21"/>
                      </w:rPr>
                    </w:pPr>
                    <w:r>
                      <w:rPr>
                        <w:rFonts w:hint="eastAsia"/>
                        <w:szCs w:val="21"/>
                      </w:rPr>
                      <w:t>期末余额</w:t>
                    </w:r>
                  </w:p>
                </w:tc>
              </w:sdtContent>
            </w:sdt>
            <w:sdt>
              <w:sdtPr>
                <w:tag w:val="_PLD_49e0f43ba09d42649fabb4ecc22986ca"/>
                <w:id w:val="25155043"/>
                <w:lock w:val="sdtLocked"/>
              </w:sdtPr>
              <w:sdtContent>
                <w:tc>
                  <w:tcPr>
                    <w:tcW w:w="2939" w:type="dxa"/>
                    <w:shd w:val="clear" w:color="auto" w:fill="auto"/>
                    <w:vAlign w:val="center"/>
                  </w:tcPr>
                  <w:p>
                    <w:pPr>
                      <w:pStyle w:val="76"/>
                      <w:jc w:val="center"/>
                      <w:rPr>
                        <w:szCs w:val="21"/>
                      </w:rPr>
                    </w:pPr>
                    <w:r>
                      <w:rPr>
                        <w:rFonts w:hint="eastAsia"/>
                        <w:szCs w:val="21"/>
                      </w:rPr>
                      <w:t>未偿还或结转的原因</w:t>
                    </w:r>
                  </w:p>
                </w:tc>
              </w:sdtContent>
            </w:sdt>
          </w:tr>
          <w:sdt>
            <w:sdtPr>
              <w:rPr>
                <w:szCs w:val="21"/>
              </w:rPr>
              <w:alias w:val="重要的账龄超过1年的应付账款明细"/>
              <w:tag w:val="_GBC_3c24b8450a0a47bd8859f88e883aa952"/>
              <w:id w:val="25155044"/>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76"/>
                      <w:rPr>
                        <w:szCs w:val="21"/>
                      </w:rPr>
                    </w:pPr>
                    <w:r>
                      <w:rPr>
                        <w:rFonts w:hint="eastAsia"/>
                      </w:rPr>
                      <w:t>单位一</w:t>
                    </w:r>
                  </w:p>
                </w:tc>
                <w:tc>
                  <w:tcPr>
                    <w:tcW w:w="2827" w:type="dxa"/>
                    <w:shd w:val="clear" w:color="auto" w:fill="auto"/>
                  </w:tcPr>
                  <w:p>
                    <w:pPr>
                      <w:pStyle w:val="76"/>
                      <w:jc w:val="right"/>
                      <w:rPr>
                        <w:szCs w:val="21"/>
                      </w:rPr>
                    </w:pPr>
                    <w:r>
                      <w:t>5,304,367.00</w:t>
                    </w:r>
                  </w:p>
                </w:tc>
                <w:tc>
                  <w:tcPr>
                    <w:tcW w:w="2939" w:type="dxa"/>
                    <w:shd w:val="clear" w:color="auto" w:fill="auto"/>
                  </w:tcPr>
                  <w:p>
                    <w:pPr>
                      <w:pStyle w:val="76"/>
                      <w:rPr>
                        <w:szCs w:val="21"/>
                      </w:rPr>
                    </w:pPr>
                    <w:r>
                      <w:t>未到结算期</w:t>
                    </w:r>
                  </w:p>
                </w:tc>
              </w:tr>
            </w:sdtContent>
          </w:sdt>
          <w:sdt>
            <w:sdtPr>
              <w:rPr>
                <w:szCs w:val="21"/>
              </w:rPr>
              <w:alias w:val="重要的账龄超过1年的应付账款明细"/>
              <w:tag w:val="_GBC_3c24b8450a0a47bd8859f88e883aa952"/>
              <w:id w:val="2515504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76"/>
                      <w:rPr>
                        <w:szCs w:val="21"/>
                      </w:rPr>
                    </w:pPr>
                    <w:r>
                      <w:rPr>
                        <w:rFonts w:hint="eastAsia"/>
                      </w:rPr>
                      <w:t>单位二</w:t>
                    </w:r>
                  </w:p>
                </w:tc>
                <w:tc>
                  <w:tcPr>
                    <w:tcW w:w="2827" w:type="dxa"/>
                    <w:shd w:val="clear" w:color="auto" w:fill="auto"/>
                  </w:tcPr>
                  <w:p>
                    <w:pPr>
                      <w:pStyle w:val="76"/>
                      <w:jc w:val="right"/>
                      <w:rPr>
                        <w:szCs w:val="21"/>
                      </w:rPr>
                    </w:pPr>
                    <w:r>
                      <w:t>3,986,292.31</w:t>
                    </w:r>
                  </w:p>
                </w:tc>
                <w:tc>
                  <w:tcPr>
                    <w:tcW w:w="2939" w:type="dxa"/>
                    <w:shd w:val="clear" w:color="auto" w:fill="auto"/>
                  </w:tcPr>
                  <w:p>
                    <w:pPr>
                      <w:pStyle w:val="76"/>
                      <w:rPr>
                        <w:szCs w:val="21"/>
                      </w:rPr>
                    </w:pPr>
                    <w:r>
                      <w:t>未到结算期</w:t>
                    </w:r>
                  </w:p>
                </w:tc>
              </w:tr>
            </w:sdtContent>
          </w:sdt>
          <w:sdt>
            <w:sdtPr>
              <w:rPr>
                <w:szCs w:val="21"/>
              </w:rPr>
              <w:alias w:val="重要的账龄超过1年的应付账款明细"/>
              <w:tag w:val="_GBC_3c24b8450a0a47bd8859f88e883aa952"/>
              <w:id w:val="25155046"/>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76"/>
                      <w:rPr>
                        <w:szCs w:val="21"/>
                      </w:rPr>
                    </w:pPr>
                    <w:r>
                      <w:rPr>
                        <w:rFonts w:hint="eastAsia"/>
                      </w:rPr>
                      <w:t>单位三</w:t>
                    </w:r>
                  </w:p>
                </w:tc>
                <w:tc>
                  <w:tcPr>
                    <w:tcW w:w="2827" w:type="dxa"/>
                    <w:shd w:val="clear" w:color="auto" w:fill="auto"/>
                  </w:tcPr>
                  <w:p>
                    <w:pPr>
                      <w:pStyle w:val="76"/>
                      <w:jc w:val="right"/>
                      <w:rPr>
                        <w:szCs w:val="21"/>
                      </w:rPr>
                    </w:pPr>
                    <w:r>
                      <w:t>2,865,607.88</w:t>
                    </w:r>
                  </w:p>
                </w:tc>
                <w:tc>
                  <w:tcPr>
                    <w:tcW w:w="2939" w:type="dxa"/>
                    <w:shd w:val="clear" w:color="auto" w:fill="auto"/>
                  </w:tcPr>
                  <w:p>
                    <w:pPr>
                      <w:pStyle w:val="76"/>
                      <w:rPr>
                        <w:szCs w:val="21"/>
                      </w:rPr>
                    </w:pPr>
                    <w:r>
                      <w:t>未到结算期</w:t>
                    </w:r>
                  </w:p>
                </w:tc>
              </w:tr>
            </w:sdtContent>
          </w:sdt>
          <w:sdt>
            <w:sdtPr>
              <w:rPr>
                <w:szCs w:val="21"/>
              </w:rPr>
              <w:alias w:val="重要的账龄超过1年的应付账款明细"/>
              <w:tag w:val="_GBC_3c24b8450a0a47bd8859f88e883aa952"/>
              <w:id w:val="2515504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76"/>
                      <w:rPr>
                        <w:szCs w:val="21"/>
                      </w:rPr>
                    </w:pPr>
                    <w:r>
                      <w:rPr>
                        <w:rFonts w:hint="eastAsia"/>
                      </w:rPr>
                      <w:t>单位四</w:t>
                    </w:r>
                  </w:p>
                </w:tc>
                <w:tc>
                  <w:tcPr>
                    <w:tcW w:w="2827" w:type="dxa"/>
                    <w:shd w:val="clear" w:color="auto" w:fill="auto"/>
                  </w:tcPr>
                  <w:p>
                    <w:pPr>
                      <w:pStyle w:val="76"/>
                      <w:jc w:val="right"/>
                      <w:rPr>
                        <w:szCs w:val="21"/>
                      </w:rPr>
                    </w:pPr>
                    <w:r>
                      <w:t>2,172,719.67</w:t>
                    </w:r>
                  </w:p>
                </w:tc>
                <w:tc>
                  <w:tcPr>
                    <w:tcW w:w="2939" w:type="dxa"/>
                    <w:shd w:val="clear" w:color="auto" w:fill="auto"/>
                  </w:tcPr>
                  <w:p>
                    <w:pPr>
                      <w:pStyle w:val="76"/>
                      <w:rPr>
                        <w:szCs w:val="21"/>
                      </w:rPr>
                    </w:pPr>
                    <w:r>
                      <w:t>未到结算期</w:t>
                    </w:r>
                  </w:p>
                </w:tc>
              </w:tr>
            </w:sdtContent>
          </w:sdt>
          <w:sdt>
            <w:sdtPr>
              <w:rPr>
                <w:szCs w:val="21"/>
              </w:rPr>
              <w:alias w:val="重要的账龄超过1年的应付账款明细"/>
              <w:tag w:val="_GBC_3c24b8450a0a47bd8859f88e883aa952"/>
              <w:id w:val="25155048"/>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76"/>
                      <w:rPr>
                        <w:szCs w:val="21"/>
                      </w:rPr>
                    </w:pPr>
                    <w:r>
                      <w:t>柳州兴钢建筑安装工程处</w:t>
                    </w:r>
                  </w:p>
                </w:tc>
                <w:tc>
                  <w:tcPr>
                    <w:tcW w:w="2827" w:type="dxa"/>
                    <w:shd w:val="clear" w:color="auto" w:fill="auto"/>
                  </w:tcPr>
                  <w:p>
                    <w:pPr>
                      <w:pStyle w:val="76"/>
                      <w:jc w:val="right"/>
                      <w:rPr>
                        <w:szCs w:val="21"/>
                      </w:rPr>
                    </w:pPr>
                    <w:r>
                      <w:t>1,975,942.50</w:t>
                    </w:r>
                  </w:p>
                </w:tc>
                <w:tc>
                  <w:tcPr>
                    <w:tcW w:w="2939" w:type="dxa"/>
                    <w:shd w:val="clear" w:color="auto" w:fill="auto"/>
                  </w:tcPr>
                  <w:p>
                    <w:pPr>
                      <w:pStyle w:val="76"/>
                      <w:rPr>
                        <w:szCs w:val="21"/>
                      </w:rPr>
                    </w:pPr>
                    <w:r>
                      <w:t>未到结算期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a4761bb44d46c18cd4488e72a6e130"/>
                <w:id w:val="25155049"/>
                <w:lock w:val="sdtLocked"/>
              </w:sdtPr>
              <w:sdtContent>
                <w:tc>
                  <w:tcPr>
                    <w:tcW w:w="3283" w:type="dxa"/>
                    <w:shd w:val="clear" w:color="auto" w:fill="auto"/>
                    <w:vAlign w:val="center"/>
                  </w:tcPr>
                  <w:p>
                    <w:pPr>
                      <w:pStyle w:val="76"/>
                      <w:jc w:val="center"/>
                      <w:rPr>
                        <w:szCs w:val="21"/>
                      </w:rPr>
                    </w:pPr>
                    <w:r>
                      <w:rPr>
                        <w:rFonts w:hint="eastAsia"/>
                        <w:szCs w:val="21"/>
                      </w:rPr>
                      <w:t>合计</w:t>
                    </w:r>
                  </w:p>
                </w:tc>
              </w:sdtContent>
            </w:sdt>
            <w:tc>
              <w:tcPr>
                <w:tcW w:w="2827" w:type="dxa"/>
                <w:shd w:val="clear" w:color="auto" w:fill="auto"/>
              </w:tcPr>
              <w:p>
                <w:pPr>
                  <w:pStyle w:val="76"/>
                  <w:jc w:val="right"/>
                  <w:rPr>
                    <w:szCs w:val="21"/>
                  </w:rPr>
                </w:pPr>
                <w:r>
                  <w:t>16,304,929.36</w:t>
                </w:r>
              </w:p>
            </w:tc>
            <w:tc>
              <w:tcPr>
                <w:tcW w:w="2939" w:type="dxa"/>
                <w:shd w:val="clear" w:color="auto" w:fill="auto"/>
              </w:tcPr>
              <w:p>
                <w:pPr>
                  <w:pStyle w:val="76"/>
                  <w:jc w:val="center"/>
                  <w:rPr>
                    <w:szCs w:val="21"/>
                  </w:rPr>
                </w:pPr>
                <w:r>
                  <w:rPr>
                    <w:rFonts w:hint="eastAsia"/>
                    <w:szCs w:val="21"/>
                  </w:rPr>
                  <w:t>/</w:t>
                </w:r>
              </w:p>
            </w:tc>
          </w:tr>
        </w:tbl>
        <w:p>
          <w:pPr>
            <w:pStyle w:val="76"/>
          </w:pPr>
        </w:p>
        <w:p>
          <w:pPr>
            <w:pStyle w:val="76"/>
          </w:pPr>
        </w:p>
      </w:sdtContent>
    </w:sdt>
    <w:sdt>
      <w:sdtPr>
        <w:rPr>
          <w:rFonts w:hint="eastAsia"/>
          <w:b/>
          <w:bCs/>
        </w:rPr>
        <w:alias w:val="模块:应付账款的其他说明"/>
        <w:tag w:val="_GBC_aecd44efc3ea456b9149dd662d0a5085"/>
        <w:id w:val="25155052"/>
        <w:lock w:val="sdtLocked"/>
        <w:placeholder>
          <w:docPart w:val="GBC22222222222222222222222222222"/>
        </w:placeholder>
      </w:sdtPr>
      <w:sdtEndPr>
        <w:rPr>
          <w:rFonts w:hint="default" w:cstheme="minorBidi"/>
          <w:b w:val="0"/>
          <w:bCs w:val="0"/>
          <w:kern w:val="2"/>
          <w:szCs w:val="21"/>
        </w:rPr>
      </w:sdtEndPr>
      <w:sdtContent>
        <w:p>
          <w:pPr>
            <w:pStyle w:val="76"/>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25155051"/>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snapToGrid w:val="0"/>
        <w:spacing w:line="240" w:lineRule="atLeast"/>
        <w:rPr>
          <w:szCs w:val="21"/>
        </w:rPr>
      </w:pPr>
    </w:p>
    <w:p>
      <w:pPr>
        <w:pStyle w:val="79"/>
        <w:numPr>
          <w:ilvl w:val="0"/>
          <w:numId w:val="46"/>
        </w:numPr>
        <w:tabs>
          <w:tab w:val="left" w:pos="504"/>
        </w:tabs>
        <w:rPr>
          <w:rFonts w:ascii="宋体" w:hAnsi="宋体"/>
          <w:szCs w:val="21"/>
        </w:rPr>
      </w:pPr>
      <w:r>
        <w:rPr>
          <w:rFonts w:hint="eastAsia" w:ascii="宋体" w:hAnsi="宋体"/>
          <w:szCs w:val="21"/>
        </w:rPr>
        <w:t>预收款项</w:t>
      </w:r>
    </w:p>
    <w:sdt>
      <w:sdtPr>
        <w:rPr>
          <w:rFonts w:hint="eastAsia" w:ascii="宋体" w:hAnsi="宋体" w:cs="宋体"/>
          <w:b w:val="0"/>
          <w:bCs w:val="0"/>
          <w:kern w:val="0"/>
          <w:szCs w:val="21"/>
        </w:rPr>
        <w:alias w:val="模块:预收账款情况"/>
        <w:tag w:val="_GBC_d7dac18f0444439d83469555857c3195"/>
        <w:id w:val="25155062"/>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65"/>
            </w:numPr>
            <w:rPr>
              <w:rFonts w:ascii="宋体" w:hAnsi="宋体"/>
              <w:szCs w:val="21"/>
            </w:rPr>
          </w:pPr>
          <w:r>
            <w:rPr>
              <w:rFonts w:hint="eastAsia" w:ascii="宋体" w:hAnsi="宋体"/>
              <w:szCs w:val="21"/>
            </w:rPr>
            <w:t>预收账款项列示</w:t>
          </w:r>
        </w:p>
        <w:sdt>
          <w:sdtPr>
            <w:alias w:val="是否适用：预收账款项列示[双击切换]"/>
            <w:tag w:val="_GBC_cf9ab7f5f12c4f788a9bbb6e3ef9c9de"/>
            <w:id w:val="2515505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预收账款情况"/>
              <w:tag w:val="_GBC_f4564e0d7a8a4a9589aae9168c4c8fdb"/>
              <w:id w:val="251550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25155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307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dd98b095374d108e2df93a96e434bb"/>
                <w:id w:val="25155056"/>
                <w:lock w:val="sdtLocked"/>
              </w:sdtPr>
              <w:sdtContent>
                <w:tc>
                  <w:tcPr>
                    <w:tcW w:w="2898" w:type="dxa"/>
                    <w:shd w:val="clear" w:color="auto" w:fill="auto"/>
                  </w:tcPr>
                  <w:p>
                    <w:pPr>
                      <w:pStyle w:val="76"/>
                      <w:jc w:val="center"/>
                      <w:rPr>
                        <w:szCs w:val="21"/>
                      </w:rPr>
                    </w:pPr>
                    <w:r>
                      <w:rPr>
                        <w:rFonts w:hint="eastAsia"/>
                        <w:szCs w:val="21"/>
                      </w:rPr>
                      <w:t>项目</w:t>
                    </w:r>
                  </w:p>
                </w:tc>
              </w:sdtContent>
            </w:sdt>
            <w:sdt>
              <w:sdtPr>
                <w:tag w:val="_PLD_9fc077db74354318b54c7ec24cd1ce0c"/>
                <w:id w:val="25155057"/>
                <w:lock w:val="sdtLocked"/>
              </w:sdtPr>
              <w:sdtContent>
                <w:tc>
                  <w:tcPr>
                    <w:tcW w:w="3078" w:type="dxa"/>
                    <w:shd w:val="clear" w:color="auto" w:fill="auto"/>
                  </w:tcPr>
                  <w:p>
                    <w:pPr>
                      <w:pStyle w:val="76"/>
                      <w:jc w:val="center"/>
                      <w:rPr>
                        <w:szCs w:val="21"/>
                      </w:rPr>
                    </w:pPr>
                    <w:r>
                      <w:rPr>
                        <w:rFonts w:hint="eastAsia"/>
                        <w:szCs w:val="21"/>
                      </w:rPr>
                      <w:t>期末余额</w:t>
                    </w:r>
                  </w:p>
                </w:tc>
              </w:sdtContent>
            </w:sdt>
            <w:sdt>
              <w:sdtPr>
                <w:tag w:val="_PLD_aa9447699c054ad4b698586b835a3180"/>
                <w:id w:val="25155058"/>
                <w:lock w:val="sdtLocked"/>
              </w:sdtPr>
              <w:sdtContent>
                <w:tc>
                  <w:tcPr>
                    <w:tcW w:w="3073" w:type="dxa"/>
                    <w:shd w:val="clear" w:color="auto" w:fill="auto"/>
                  </w:tcPr>
                  <w:p>
                    <w:pPr>
                      <w:pStyle w:val="76"/>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2515505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pStyle w:val="76"/>
                      <w:rPr>
                        <w:szCs w:val="21"/>
                      </w:rPr>
                    </w:pPr>
                    <w:r>
                      <w:t>预收钢材款</w:t>
                    </w:r>
                  </w:p>
                </w:tc>
                <w:tc>
                  <w:tcPr>
                    <w:tcW w:w="3078" w:type="dxa"/>
                    <w:shd w:val="clear" w:color="auto" w:fill="auto"/>
                  </w:tcPr>
                  <w:p>
                    <w:pPr>
                      <w:pStyle w:val="76"/>
                      <w:jc w:val="right"/>
                      <w:rPr>
                        <w:szCs w:val="21"/>
                      </w:rPr>
                    </w:pPr>
                    <w:r>
                      <w:t>837,134,438.72</w:t>
                    </w:r>
                  </w:p>
                </w:tc>
                <w:tc>
                  <w:tcPr>
                    <w:tcW w:w="3073" w:type="dxa"/>
                    <w:shd w:val="clear" w:color="auto" w:fill="auto"/>
                  </w:tcPr>
                  <w:p>
                    <w:pPr>
                      <w:pStyle w:val="76"/>
                      <w:jc w:val="right"/>
                      <w:rPr>
                        <w:szCs w:val="21"/>
                      </w:rPr>
                    </w:pPr>
                    <w:r>
                      <w:t>1,103,964,321.96</w:t>
                    </w:r>
                  </w:p>
                </w:tc>
              </w:tr>
            </w:sdtContent>
          </w:sdt>
          <w:sdt>
            <w:sdtPr>
              <w:rPr>
                <w:rFonts w:hint="eastAsia"/>
                <w:szCs w:val="21"/>
              </w:rPr>
              <w:alias w:val="预收账款情况明细"/>
              <w:tag w:val="_GBC_230853c1febc415e90da55e0c713ce54"/>
              <w:id w:val="2515506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pStyle w:val="76"/>
                      <w:rPr>
                        <w:szCs w:val="21"/>
                      </w:rPr>
                    </w:pPr>
                    <w:r>
                      <w:t>其他</w:t>
                    </w:r>
                  </w:p>
                </w:tc>
                <w:tc>
                  <w:tcPr>
                    <w:tcW w:w="3078" w:type="dxa"/>
                    <w:shd w:val="clear" w:color="auto" w:fill="auto"/>
                  </w:tcPr>
                  <w:p>
                    <w:pPr>
                      <w:pStyle w:val="76"/>
                      <w:jc w:val="right"/>
                      <w:rPr>
                        <w:szCs w:val="21"/>
                      </w:rPr>
                    </w:pPr>
                    <w:r>
                      <w:t>12,209,000.65</w:t>
                    </w:r>
                  </w:p>
                </w:tc>
                <w:tc>
                  <w:tcPr>
                    <w:tcW w:w="3073" w:type="dxa"/>
                    <w:shd w:val="clear" w:color="auto" w:fill="auto"/>
                  </w:tcPr>
                  <w:p>
                    <w:pPr>
                      <w:pStyle w:val="76"/>
                      <w:jc w:val="right"/>
                      <w:rPr>
                        <w:szCs w:val="21"/>
                      </w:rPr>
                    </w:pPr>
                    <w:r>
                      <w:t>13,636,922.22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bdcdc98ceee47408e8ac7a0d53c5b39"/>
                <w:id w:val="25155061"/>
                <w:lock w:val="sdtLocked"/>
              </w:sdtPr>
              <w:sdtContent>
                <w:tc>
                  <w:tcPr>
                    <w:tcW w:w="2898" w:type="dxa"/>
                    <w:shd w:val="clear" w:color="auto" w:fill="auto"/>
                  </w:tcPr>
                  <w:p>
                    <w:pPr>
                      <w:pStyle w:val="76"/>
                      <w:jc w:val="center"/>
                      <w:rPr>
                        <w:color w:val="000000" w:themeColor="text1"/>
                        <w:szCs w:val="21"/>
                      </w:rPr>
                    </w:pPr>
                    <w:r>
                      <w:rPr>
                        <w:rFonts w:hint="eastAsia"/>
                        <w:color w:val="000000" w:themeColor="text1"/>
                        <w:szCs w:val="21"/>
                      </w:rPr>
                      <w:t>合计</w:t>
                    </w:r>
                  </w:p>
                </w:tc>
              </w:sdtContent>
            </w:sdt>
            <w:tc>
              <w:tcPr>
                <w:tcW w:w="3078" w:type="dxa"/>
                <w:shd w:val="clear" w:color="auto" w:fill="auto"/>
              </w:tcPr>
              <w:p>
                <w:pPr>
                  <w:pStyle w:val="76"/>
                  <w:jc w:val="right"/>
                  <w:rPr>
                    <w:szCs w:val="21"/>
                  </w:rPr>
                </w:pPr>
                <w:r>
                  <w:t>849,343,439.37</w:t>
                </w:r>
              </w:p>
            </w:tc>
            <w:tc>
              <w:tcPr>
                <w:tcW w:w="3073" w:type="dxa"/>
                <w:shd w:val="clear" w:color="auto" w:fill="auto"/>
              </w:tcPr>
              <w:p>
                <w:pPr>
                  <w:pStyle w:val="76"/>
                  <w:jc w:val="right"/>
                  <w:rPr>
                    <w:szCs w:val="21"/>
                  </w:rPr>
                </w:pPr>
                <w:r>
                  <w:t>1,117,601,244.18</w:t>
                </w:r>
              </w:p>
            </w:tc>
          </w:tr>
        </w:tbl>
        <w:p>
          <w:pPr>
            <w:pStyle w:val="76"/>
          </w:pPr>
        </w:p>
      </w:sdtContent>
    </w:sdt>
    <w:p>
      <w:pPr>
        <w:pStyle w:val="76"/>
        <w:tabs>
          <w:tab w:val="left" w:pos="8280"/>
          <w:tab w:val="left" w:pos="9720"/>
        </w:tabs>
        <w:ind w:right="25" w:rightChars="12"/>
        <w:rPr>
          <w:szCs w:val="21"/>
        </w:rPr>
      </w:pPr>
    </w:p>
    <w:sdt>
      <w:sdtPr>
        <w:rPr>
          <w:rFonts w:hint="eastAsia" w:ascii="宋体" w:hAnsi="宋体" w:cstheme="minorBidi"/>
          <w:b w:val="0"/>
          <w:bCs w:val="0"/>
          <w:kern w:val="0"/>
          <w:szCs w:val="21"/>
        </w:rPr>
        <w:alias w:val="模块:账龄超过1年的重要预收款项"/>
        <w:tag w:val="_GBC_59300802f7ac43e3ab1ce4a570fb0267"/>
        <w:id w:val="25155072"/>
        <w:lock w:val="sdtLocked"/>
        <w:placeholder>
          <w:docPart w:val="GBC22222222222222222222222222222"/>
        </w:placeholder>
      </w:sdtPr>
      <w:sdtEndPr>
        <w:rPr>
          <w:rFonts w:hint="eastAsia" w:ascii="宋体" w:hAnsi="宋体" w:cstheme="minorBidi"/>
          <w:b w:val="0"/>
          <w:bCs w:val="0"/>
          <w:kern w:val="0"/>
          <w:szCs w:val="21"/>
        </w:rPr>
      </w:sdtEndPr>
      <w:sdtContent>
        <w:p>
          <w:pPr>
            <w:pStyle w:val="80"/>
            <w:numPr>
              <w:ilvl w:val="0"/>
              <w:numId w:val="65"/>
            </w:numPr>
            <w:rPr>
              <w:kern w:val="0"/>
            </w:rPr>
          </w:pPr>
          <w:r>
            <w:rPr>
              <w:rFonts w:hint="eastAsia"/>
              <w:kern w:val="0"/>
            </w:rPr>
            <w:t>账龄超过</w:t>
          </w:r>
          <w:r>
            <w:rPr>
              <w:kern w:val="0"/>
            </w:rPr>
            <w:t>1年的重要预收款项</w:t>
          </w:r>
        </w:p>
        <w:sdt>
          <w:sdtPr>
            <w:alias w:val="是否适用：账龄超过1年的重要预收款项[双击切换]"/>
            <w:tag w:val="_GBC_ae7ea5bab4b04b2cb170af5020f86302"/>
            <w:id w:val="2515506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重要的账龄超过1年的预收账款"/>
              <w:tag w:val="_GBC_42b95b40c556404fb356ffbe5874de55"/>
              <w:id w:val="251550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251550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349"/>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e03e2e9e4349419f13fec568395d55"/>
                <w:id w:val="25155066"/>
                <w:lock w:val="sdtLocked"/>
              </w:sdtPr>
              <w:sdtContent>
                <w:tc>
                  <w:tcPr>
                    <w:tcW w:w="3652" w:type="dxa"/>
                    <w:shd w:val="clear" w:color="auto" w:fill="auto"/>
                    <w:vAlign w:val="center"/>
                  </w:tcPr>
                  <w:p>
                    <w:pPr>
                      <w:pStyle w:val="76"/>
                      <w:jc w:val="center"/>
                      <w:rPr>
                        <w:szCs w:val="21"/>
                      </w:rPr>
                    </w:pPr>
                    <w:r>
                      <w:rPr>
                        <w:rFonts w:hint="eastAsia"/>
                        <w:szCs w:val="21"/>
                      </w:rPr>
                      <w:t>项目</w:t>
                    </w:r>
                  </w:p>
                </w:tc>
              </w:sdtContent>
            </w:sdt>
            <w:sdt>
              <w:sdtPr>
                <w:tag w:val="_PLD_8dd80b4c0ac3400bb1beb0c7f576a2f6"/>
                <w:id w:val="25155067"/>
                <w:lock w:val="sdtLocked"/>
              </w:sdtPr>
              <w:sdtContent>
                <w:tc>
                  <w:tcPr>
                    <w:tcW w:w="2349" w:type="dxa"/>
                    <w:shd w:val="clear" w:color="auto" w:fill="auto"/>
                    <w:vAlign w:val="center"/>
                  </w:tcPr>
                  <w:p>
                    <w:pPr>
                      <w:pStyle w:val="76"/>
                      <w:jc w:val="center"/>
                      <w:rPr>
                        <w:szCs w:val="21"/>
                      </w:rPr>
                    </w:pPr>
                    <w:r>
                      <w:rPr>
                        <w:rFonts w:hint="eastAsia"/>
                        <w:szCs w:val="21"/>
                      </w:rPr>
                      <w:t>期末余额</w:t>
                    </w:r>
                  </w:p>
                </w:tc>
              </w:sdtContent>
            </w:sdt>
            <w:sdt>
              <w:sdtPr>
                <w:tag w:val="_PLD_d7bc2edb811346f1ae4479ea07f0f622"/>
                <w:id w:val="25155068"/>
                <w:lock w:val="sdtLocked"/>
              </w:sdtPr>
              <w:sdtContent>
                <w:tc>
                  <w:tcPr>
                    <w:tcW w:w="3048" w:type="dxa"/>
                    <w:shd w:val="clear" w:color="auto" w:fill="auto"/>
                    <w:vAlign w:val="center"/>
                  </w:tcPr>
                  <w:p>
                    <w:pPr>
                      <w:pStyle w:val="76"/>
                      <w:jc w:val="center"/>
                      <w:rPr>
                        <w:szCs w:val="21"/>
                      </w:rPr>
                    </w:pPr>
                    <w:r>
                      <w:rPr>
                        <w:rFonts w:hint="eastAsia"/>
                        <w:szCs w:val="21"/>
                      </w:rPr>
                      <w:t>未偿还或结转的原因</w:t>
                    </w:r>
                  </w:p>
                </w:tc>
              </w:sdtContent>
            </w:sdt>
          </w:tr>
          <w:sdt>
            <w:sdtPr>
              <w:rPr>
                <w:szCs w:val="21"/>
              </w:rPr>
              <w:alias w:val="重要的账龄超过1年的预收账款明细"/>
              <w:tag w:val="_GBC_36a567eab8e7428283e75f2fe80c7041"/>
              <w:id w:val="2515506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bottom w:val="single" w:color="auto" w:sz="4" w:space="0"/>
                    </w:tcBorders>
                    <w:shd w:val="clear" w:color="auto" w:fill="auto"/>
                  </w:tcPr>
                  <w:p>
                    <w:pPr>
                      <w:pStyle w:val="76"/>
                      <w:rPr>
                        <w:szCs w:val="21"/>
                      </w:rPr>
                    </w:pPr>
                    <w:r>
                      <w:t>十一冶建设有限公司柳钢工程指挥部</w:t>
                    </w:r>
                  </w:p>
                </w:tc>
                <w:tc>
                  <w:tcPr>
                    <w:tcW w:w="2349" w:type="dxa"/>
                    <w:shd w:val="clear" w:color="auto" w:fill="auto"/>
                  </w:tcPr>
                  <w:p>
                    <w:pPr>
                      <w:pStyle w:val="76"/>
                      <w:jc w:val="right"/>
                      <w:rPr>
                        <w:szCs w:val="21"/>
                      </w:rPr>
                    </w:pPr>
                    <w:r>
                      <w:t>330,966.05</w:t>
                    </w:r>
                  </w:p>
                </w:tc>
                <w:tc>
                  <w:tcPr>
                    <w:tcW w:w="3048" w:type="dxa"/>
                    <w:shd w:val="clear" w:color="auto" w:fill="auto"/>
                  </w:tcPr>
                  <w:p>
                    <w:pPr>
                      <w:pStyle w:val="76"/>
                      <w:rPr>
                        <w:szCs w:val="21"/>
                      </w:rPr>
                    </w:pPr>
                    <w:r>
                      <w:t>未到结算期</w:t>
                    </w:r>
                  </w:p>
                </w:tc>
              </w:tr>
            </w:sdtContent>
          </w:sdt>
          <w:sdt>
            <w:sdtPr>
              <w:rPr>
                <w:szCs w:val="21"/>
              </w:rPr>
              <w:alias w:val="重要的账龄超过1年的预收账款明细"/>
              <w:tag w:val="_GBC_36a567eab8e7428283e75f2fe80c7041"/>
              <w:id w:val="25155070"/>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bottom w:val="single" w:color="auto" w:sz="4" w:space="0"/>
                    </w:tcBorders>
                    <w:shd w:val="clear" w:color="auto" w:fill="auto"/>
                  </w:tcPr>
                  <w:p>
                    <w:pPr>
                      <w:pStyle w:val="76"/>
                      <w:rPr>
                        <w:szCs w:val="21"/>
                      </w:rPr>
                    </w:pPr>
                    <w:r>
                      <w:rPr>
                        <w:rFonts w:hint="eastAsia"/>
                      </w:rPr>
                      <w:t>单位一</w:t>
                    </w:r>
                  </w:p>
                </w:tc>
                <w:tc>
                  <w:tcPr>
                    <w:tcW w:w="2349" w:type="dxa"/>
                    <w:shd w:val="clear" w:color="auto" w:fill="auto"/>
                  </w:tcPr>
                  <w:p>
                    <w:pPr>
                      <w:pStyle w:val="76"/>
                      <w:jc w:val="right"/>
                      <w:rPr>
                        <w:szCs w:val="21"/>
                      </w:rPr>
                    </w:pPr>
                    <w:r>
                      <w:t>39,636.00</w:t>
                    </w:r>
                  </w:p>
                </w:tc>
                <w:tc>
                  <w:tcPr>
                    <w:tcW w:w="3048" w:type="dxa"/>
                    <w:shd w:val="clear" w:color="auto" w:fill="auto"/>
                  </w:tcPr>
                  <w:p>
                    <w:pPr>
                      <w:pStyle w:val="76"/>
                      <w:rPr>
                        <w:szCs w:val="21"/>
                      </w:rPr>
                    </w:pPr>
                    <w:r>
                      <w:t>未到结算期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71806cf8d4402a8570d8a456143f9e"/>
                <w:id w:val="25155071"/>
                <w:lock w:val="sdtLocked"/>
              </w:sdtPr>
              <w:sdtContent>
                <w:tc>
                  <w:tcPr>
                    <w:tcW w:w="3652" w:type="dxa"/>
                    <w:shd w:val="clear" w:color="auto" w:fill="auto"/>
                    <w:vAlign w:val="center"/>
                  </w:tcPr>
                  <w:p>
                    <w:pPr>
                      <w:pStyle w:val="76"/>
                      <w:jc w:val="center"/>
                      <w:rPr>
                        <w:szCs w:val="21"/>
                      </w:rPr>
                    </w:pPr>
                    <w:r>
                      <w:rPr>
                        <w:rFonts w:hint="eastAsia"/>
                        <w:szCs w:val="21"/>
                      </w:rPr>
                      <w:t>合计</w:t>
                    </w:r>
                  </w:p>
                </w:tc>
              </w:sdtContent>
            </w:sdt>
            <w:tc>
              <w:tcPr>
                <w:tcW w:w="2349" w:type="dxa"/>
                <w:shd w:val="clear" w:color="auto" w:fill="auto"/>
              </w:tcPr>
              <w:p>
                <w:pPr>
                  <w:pStyle w:val="76"/>
                  <w:jc w:val="right"/>
                  <w:rPr>
                    <w:szCs w:val="21"/>
                  </w:rPr>
                </w:pPr>
                <w:r>
                  <w:t>370,602.05</w:t>
                </w:r>
              </w:p>
            </w:tc>
            <w:tc>
              <w:tcPr>
                <w:tcW w:w="3048" w:type="dxa"/>
                <w:shd w:val="clear" w:color="auto" w:fill="auto"/>
              </w:tcPr>
              <w:p>
                <w:pPr>
                  <w:pStyle w:val="76"/>
                  <w:jc w:val="center"/>
                  <w:rPr>
                    <w:szCs w:val="21"/>
                  </w:rPr>
                </w:pPr>
                <w:r>
                  <w:rPr>
                    <w:rFonts w:hint="eastAsia"/>
                    <w:szCs w:val="21"/>
                  </w:rPr>
                  <w:t>/</w:t>
                </w:r>
              </w:p>
            </w:tc>
          </w:tr>
        </w:tbl>
        <w:p>
          <w:pPr>
            <w:pStyle w:val="76"/>
          </w:pPr>
        </w:p>
        <w:p>
          <w:pPr>
            <w:pStyle w:val="76"/>
            <w:tabs>
              <w:tab w:val="left" w:pos="8280"/>
              <w:tab w:val="left" w:pos="9720"/>
            </w:tabs>
            <w:ind w:right="25" w:rightChars="12"/>
            <w:rPr>
              <w:rFonts w:cstheme="minorBidi"/>
              <w:szCs w:val="21"/>
            </w:rPr>
          </w:pPr>
        </w:p>
      </w:sdtContent>
    </w:sdt>
    <w:sdt>
      <w:sdtPr>
        <w:rPr>
          <w:rFonts w:hint="eastAsia" w:ascii="宋体" w:hAnsi="宋体" w:cstheme="minorBidi"/>
          <w:b w:val="0"/>
          <w:bCs w:val="0"/>
          <w:kern w:val="0"/>
          <w:szCs w:val="21"/>
        </w:rPr>
        <w:alias w:val="模块:建造合同形成的已结算未完工项目情况："/>
        <w:tag w:val="_GBC_37bcb0c74eca4b76939a72b0cb5a0f2c"/>
        <w:id w:val="25155074"/>
        <w:lock w:val="sdtLocked"/>
        <w:placeholder>
          <w:docPart w:val="GBC22222222222222222222222222222"/>
        </w:placeholder>
      </w:sdtPr>
      <w:sdtEndPr>
        <w:rPr>
          <w:rFonts w:hint="eastAsia" w:ascii="宋体" w:hAnsi="宋体" w:cstheme="minorBidi"/>
          <w:b w:val="0"/>
          <w:bCs w:val="0"/>
          <w:kern w:val="0"/>
          <w:szCs w:val="21"/>
        </w:rPr>
      </w:sdtEndPr>
      <w:sdtContent>
        <w:p>
          <w:pPr>
            <w:pStyle w:val="80"/>
            <w:numPr>
              <w:ilvl w:val="0"/>
              <w:numId w:val="65"/>
            </w:numPr>
            <w:rPr>
              <w:rFonts w:cstheme="minorBidi"/>
              <w:szCs w:val="21"/>
            </w:rPr>
          </w:pPr>
          <w:r>
            <w:rPr>
              <w:rFonts w:hint="eastAsia" w:ascii="宋体" w:hAnsi="宋体" w:cstheme="minorBidi"/>
              <w:bCs w:val="0"/>
              <w:kern w:val="0"/>
              <w:szCs w:val="21"/>
            </w:rPr>
            <w:t>期末</w:t>
          </w:r>
          <w:r>
            <w:rPr>
              <w:rFonts w:hint="eastAsia" w:cstheme="minorBidi"/>
              <w:szCs w:val="21"/>
            </w:rPr>
            <w:t>建造合同形成的已结算未完工项目情况：</w:t>
          </w:r>
        </w:p>
        <w:sdt>
          <w:sdtPr>
            <w:alias w:val="是否适用：期末建造合同形成的已结算未完工项目情况[双击切换]"/>
            <w:tag w:val="_GBC_469609caee1b43e78166ae0bf6233f2c"/>
            <w:id w:val="25155073"/>
            <w:lock w:val="sdtContentLocked"/>
            <w:placeholder>
              <w:docPart w:val="GBC22222222222222222222222222222"/>
            </w:placeholder>
          </w:sdtPr>
          <w:sdtContent>
            <w:p>
              <w:pPr>
                <w:pStyle w:val="76"/>
                <w:rPr>
                  <w:rFonts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25155076"/>
        <w:lock w:val="sdtLocked"/>
        <w:placeholder>
          <w:docPart w:val="GBC22222222222222222222222222222"/>
        </w:placeholder>
      </w:sdtPr>
      <w:sdtEndPr>
        <w:rPr>
          <w:rFonts w:hint="default" w:cstheme="minorBidi"/>
          <w:b w:val="0"/>
          <w:bCs w:val="0"/>
          <w:color w:val="000000" w:themeColor="text1"/>
          <w:kern w:val="2"/>
          <w:szCs w:val="21"/>
        </w:rPr>
      </w:sdtEndPr>
      <w:sdtContent>
        <w:p>
          <w:pPr>
            <w:pStyle w:val="76"/>
          </w:pPr>
          <w:r>
            <w:rPr>
              <w:rFonts w:hint="eastAsia"/>
            </w:rPr>
            <w:t>其他说明</w:t>
          </w:r>
        </w:p>
        <w:sdt>
          <w:sdtPr>
            <w:alias w:val="是否适用：预收账款的其他说明[双击切换]"/>
            <w:tag w:val="_GBC_f473b6b28a104ffc812e6da4cf5177e5"/>
            <w:id w:val="2515507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应付职工薪酬</w:t>
      </w:r>
    </w:p>
    <w:sdt>
      <w:sdtPr>
        <w:rPr>
          <w:rFonts w:ascii="宋体" w:hAnsi="宋体" w:cs="宋体"/>
          <w:b w:val="0"/>
          <w:bCs w:val="0"/>
          <w:kern w:val="0"/>
          <w:szCs w:val="24"/>
        </w:rPr>
        <w:alias w:val="模块:应付职工薪酬列示："/>
        <w:tag w:val="_GBC_fa609950067149f1a5c0a6c3ba353431"/>
        <w:id w:val="25155090"/>
        <w:lock w:val="sdtLocked"/>
        <w:placeholder>
          <w:docPart w:val="GBC22222222222222222222222222222"/>
        </w:placeholder>
      </w:sdtPr>
      <w:sdtEndPr>
        <w:rPr>
          <w:rFonts w:ascii="宋体" w:hAnsi="宋体" w:cs="宋体"/>
          <w:b w:val="0"/>
          <w:bCs w:val="0"/>
          <w:kern w:val="0"/>
          <w:szCs w:val="24"/>
        </w:rPr>
      </w:sdtEndPr>
      <w:sdtContent>
        <w:p>
          <w:pPr>
            <w:pStyle w:val="80"/>
            <w:numPr>
              <w:ilvl w:val="0"/>
              <w:numId w:val="66"/>
            </w:numPr>
          </w:pPr>
          <w:r>
            <w:rPr>
              <w:rFonts w:hint="eastAsia"/>
            </w:rPr>
            <w:t>应付职工薪酬列示：</w:t>
          </w:r>
        </w:p>
        <w:sdt>
          <w:sdtPr>
            <w:alias w:val="是否适用：应付职工薪酬列示[双击切换]"/>
            <w:tag w:val="_GBC_88faccc480a843dca589c1af0d3fee37"/>
            <w:id w:val="2515507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应付职工薪酬"/>
              <w:tag w:val="_GBC_5c4cdcd7cd924c4ca8e87f806bc459b0"/>
              <w:id w:val="251550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251550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611"/>
            <w:gridCol w:w="1607"/>
            <w:gridCol w:w="161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81bea2acb8f49ac9b4cfc92cd4a426e"/>
                <w:id w:val="25155080"/>
                <w:lock w:val="sdtLocked"/>
              </w:sdtPr>
              <w:sdtEndPr>
                <w:rPr>
                  <w:sz w:val="18"/>
                  <w:szCs w:val="18"/>
                </w:rPr>
              </w:sdtEndPr>
              <w:sdtContent>
                <w:tc>
                  <w:tcPr>
                    <w:tcW w:w="2600" w:type="dxa"/>
                    <w:shd w:val="clear" w:color="auto" w:fill="auto"/>
                    <w:vAlign w:val="center"/>
                  </w:tcPr>
                  <w:p>
                    <w:pPr>
                      <w:pStyle w:val="76"/>
                      <w:jc w:val="center"/>
                      <w:rPr>
                        <w:sz w:val="18"/>
                        <w:szCs w:val="18"/>
                      </w:rPr>
                    </w:pPr>
                    <w:r>
                      <w:rPr>
                        <w:rFonts w:hint="eastAsia"/>
                        <w:sz w:val="18"/>
                        <w:szCs w:val="18"/>
                      </w:rPr>
                      <w:t>项目</w:t>
                    </w:r>
                  </w:p>
                </w:tc>
              </w:sdtContent>
            </w:sdt>
            <w:sdt>
              <w:sdtPr>
                <w:rPr>
                  <w:sz w:val="18"/>
                  <w:szCs w:val="18"/>
                </w:rPr>
                <w:tag w:val="_PLD_ff27c0f5bcb94d9b932762b91edf2ff1"/>
                <w:id w:val="25155081"/>
                <w:lock w:val="sdtLocked"/>
              </w:sdtPr>
              <w:sdtEndPr>
                <w:rPr>
                  <w:sz w:val="18"/>
                  <w:szCs w:val="18"/>
                </w:rPr>
              </w:sdtEndPr>
              <w:sdtContent>
                <w:tc>
                  <w:tcPr>
                    <w:tcW w:w="1611" w:type="dxa"/>
                    <w:shd w:val="clear" w:color="auto" w:fill="auto"/>
                    <w:vAlign w:val="center"/>
                  </w:tcPr>
                  <w:p>
                    <w:pPr>
                      <w:pStyle w:val="76"/>
                      <w:jc w:val="center"/>
                      <w:rPr>
                        <w:sz w:val="18"/>
                        <w:szCs w:val="18"/>
                      </w:rPr>
                    </w:pPr>
                    <w:r>
                      <w:rPr>
                        <w:rFonts w:hint="eastAsia"/>
                        <w:sz w:val="18"/>
                        <w:szCs w:val="18"/>
                      </w:rPr>
                      <w:t>期初余额</w:t>
                    </w:r>
                  </w:p>
                </w:tc>
              </w:sdtContent>
            </w:sdt>
            <w:sdt>
              <w:sdtPr>
                <w:rPr>
                  <w:sz w:val="18"/>
                  <w:szCs w:val="18"/>
                </w:rPr>
                <w:tag w:val="_PLD_7274636f27ae4e048ade60bfddaa8164"/>
                <w:id w:val="25155082"/>
                <w:lock w:val="sdtLocked"/>
              </w:sdtPr>
              <w:sdtEndPr>
                <w:rPr>
                  <w:sz w:val="18"/>
                  <w:szCs w:val="18"/>
                </w:rPr>
              </w:sdtEndPr>
              <w:sdtContent>
                <w:tc>
                  <w:tcPr>
                    <w:tcW w:w="1607" w:type="dxa"/>
                    <w:shd w:val="clear" w:color="auto" w:fill="auto"/>
                    <w:vAlign w:val="center"/>
                  </w:tcPr>
                  <w:p>
                    <w:pPr>
                      <w:pStyle w:val="76"/>
                      <w:jc w:val="center"/>
                      <w:rPr>
                        <w:sz w:val="18"/>
                        <w:szCs w:val="18"/>
                      </w:rPr>
                    </w:pPr>
                    <w:r>
                      <w:rPr>
                        <w:rFonts w:hint="eastAsia"/>
                        <w:sz w:val="18"/>
                        <w:szCs w:val="18"/>
                      </w:rPr>
                      <w:t>本期增加</w:t>
                    </w:r>
                  </w:p>
                </w:tc>
              </w:sdtContent>
            </w:sdt>
            <w:sdt>
              <w:sdtPr>
                <w:rPr>
                  <w:sz w:val="18"/>
                  <w:szCs w:val="18"/>
                </w:rPr>
                <w:tag w:val="_PLD_07ae572963de436aa2308d649a28c23b"/>
                <w:id w:val="25155083"/>
                <w:lock w:val="sdtLocked"/>
              </w:sdtPr>
              <w:sdtEndPr>
                <w:rPr>
                  <w:sz w:val="18"/>
                  <w:szCs w:val="18"/>
                </w:rPr>
              </w:sdtEndPr>
              <w:sdtContent>
                <w:tc>
                  <w:tcPr>
                    <w:tcW w:w="1611" w:type="dxa"/>
                    <w:shd w:val="clear" w:color="auto" w:fill="auto"/>
                    <w:vAlign w:val="center"/>
                  </w:tcPr>
                  <w:p>
                    <w:pPr>
                      <w:pStyle w:val="76"/>
                      <w:jc w:val="center"/>
                      <w:rPr>
                        <w:sz w:val="18"/>
                        <w:szCs w:val="18"/>
                      </w:rPr>
                    </w:pPr>
                    <w:r>
                      <w:rPr>
                        <w:rFonts w:hint="eastAsia"/>
                        <w:sz w:val="18"/>
                        <w:szCs w:val="18"/>
                      </w:rPr>
                      <w:t>本期减少</w:t>
                    </w:r>
                  </w:p>
                </w:tc>
              </w:sdtContent>
            </w:sdt>
            <w:sdt>
              <w:sdtPr>
                <w:rPr>
                  <w:sz w:val="18"/>
                  <w:szCs w:val="18"/>
                </w:rPr>
                <w:tag w:val="_PLD_27069329d7654e34bc45ca7dee532204"/>
                <w:id w:val="25155084"/>
                <w:lock w:val="sdtLocked"/>
              </w:sdtPr>
              <w:sdtEndPr>
                <w:rPr>
                  <w:sz w:val="18"/>
                  <w:szCs w:val="18"/>
                </w:rPr>
              </w:sdtEndPr>
              <w:sdtContent>
                <w:tc>
                  <w:tcPr>
                    <w:tcW w:w="1620" w:type="dxa"/>
                    <w:shd w:val="clear" w:color="auto" w:fill="auto"/>
                    <w:vAlign w:val="center"/>
                  </w:tcPr>
                  <w:p>
                    <w:pPr>
                      <w:pStyle w:val="76"/>
                      <w:jc w:val="center"/>
                      <w:rPr>
                        <w:sz w:val="18"/>
                        <w:szCs w:val="18"/>
                      </w:rPr>
                    </w:pPr>
                    <w:r>
                      <w:rPr>
                        <w:rFonts w:hint="eastAsia"/>
                        <w:sz w:val="18"/>
                        <w:szCs w:val="18"/>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272d2e82a6f45a197d65c1251ac79c7"/>
                <w:id w:val="25155085"/>
                <w:lock w:val="sdtLocked"/>
              </w:sdtPr>
              <w:sdtEndPr>
                <w:rPr>
                  <w:sz w:val="18"/>
                  <w:szCs w:val="18"/>
                </w:rPr>
              </w:sdtEndPr>
              <w:sdtContent>
                <w:tc>
                  <w:tcPr>
                    <w:tcW w:w="2600" w:type="dxa"/>
                    <w:shd w:val="clear" w:color="auto" w:fill="auto"/>
                  </w:tcPr>
                  <w:p>
                    <w:pPr>
                      <w:pStyle w:val="76"/>
                      <w:rPr>
                        <w:sz w:val="18"/>
                        <w:szCs w:val="18"/>
                      </w:rPr>
                    </w:pPr>
                    <w:r>
                      <w:rPr>
                        <w:rFonts w:hint="eastAsia"/>
                        <w:sz w:val="18"/>
                        <w:szCs w:val="18"/>
                      </w:rPr>
                      <w:t>一、短期薪酬</w:t>
                    </w:r>
                  </w:p>
                </w:tc>
              </w:sdtContent>
            </w:sdt>
            <w:tc>
              <w:tcPr>
                <w:tcW w:w="1611" w:type="dxa"/>
                <w:shd w:val="clear" w:color="auto" w:fill="auto"/>
              </w:tcPr>
              <w:p>
                <w:pPr>
                  <w:pStyle w:val="76"/>
                  <w:jc w:val="right"/>
                  <w:rPr>
                    <w:sz w:val="18"/>
                    <w:szCs w:val="18"/>
                  </w:rPr>
                </w:pPr>
                <w:r>
                  <w:rPr>
                    <w:sz w:val="18"/>
                    <w:szCs w:val="18"/>
                  </w:rPr>
                  <w:t>82,850,795.71</w:t>
                </w:r>
              </w:p>
            </w:tc>
            <w:tc>
              <w:tcPr>
                <w:tcW w:w="1607" w:type="dxa"/>
                <w:shd w:val="clear" w:color="auto" w:fill="auto"/>
              </w:tcPr>
              <w:p>
                <w:pPr>
                  <w:pStyle w:val="76"/>
                  <w:jc w:val="right"/>
                  <w:rPr>
                    <w:sz w:val="18"/>
                    <w:szCs w:val="18"/>
                    <w:highlight w:val="yellow"/>
                  </w:rPr>
                </w:pPr>
                <w:r>
                  <w:rPr>
                    <w:sz w:val="18"/>
                    <w:szCs w:val="18"/>
                  </w:rPr>
                  <w:t>845,922,245.03</w:t>
                </w:r>
              </w:p>
            </w:tc>
            <w:tc>
              <w:tcPr>
                <w:tcW w:w="1611" w:type="dxa"/>
                <w:shd w:val="clear" w:color="auto" w:fill="auto"/>
              </w:tcPr>
              <w:p>
                <w:pPr>
                  <w:pStyle w:val="76"/>
                  <w:jc w:val="right"/>
                  <w:rPr>
                    <w:sz w:val="18"/>
                    <w:szCs w:val="18"/>
                    <w:highlight w:val="yellow"/>
                  </w:rPr>
                </w:pPr>
                <w:r>
                  <w:rPr>
                    <w:sz w:val="18"/>
                    <w:szCs w:val="18"/>
                  </w:rPr>
                  <w:t>837,671,400.76</w:t>
                </w:r>
              </w:p>
            </w:tc>
            <w:tc>
              <w:tcPr>
                <w:tcW w:w="1620" w:type="dxa"/>
                <w:shd w:val="clear" w:color="auto" w:fill="auto"/>
              </w:tcPr>
              <w:p>
                <w:pPr>
                  <w:pStyle w:val="76"/>
                  <w:jc w:val="right"/>
                  <w:rPr>
                    <w:sz w:val="18"/>
                    <w:szCs w:val="18"/>
                  </w:rPr>
                </w:pPr>
                <w:r>
                  <w:rPr>
                    <w:sz w:val="18"/>
                    <w:szCs w:val="18"/>
                  </w:rPr>
                  <w:t>91,101,639.98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3c7b981b4f64fe3993a41cabeb3d888"/>
                <w:id w:val="25155086"/>
                <w:lock w:val="sdtLocked"/>
              </w:sdtPr>
              <w:sdtEndPr>
                <w:rPr>
                  <w:sz w:val="18"/>
                  <w:szCs w:val="18"/>
                </w:rPr>
              </w:sdtEndPr>
              <w:sdtContent>
                <w:tc>
                  <w:tcPr>
                    <w:tcW w:w="2600" w:type="dxa"/>
                    <w:shd w:val="clear" w:color="auto" w:fill="auto"/>
                  </w:tcPr>
                  <w:p>
                    <w:pPr>
                      <w:pStyle w:val="76"/>
                      <w:rPr>
                        <w:sz w:val="18"/>
                        <w:szCs w:val="18"/>
                      </w:rPr>
                    </w:pPr>
                    <w:r>
                      <w:rPr>
                        <w:rFonts w:hint="eastAsia"/>
                        <w:sz w:val="18"/>
                        <w:szCs w:val="18"/>
                      </w:rPr>
                      <w:t>二、离职后福利-设定提存计划</w:t>
                    </w:r>
                  </w:p>
                </w:tc>
              </w:sdtContent>
            </w:sdt>
            <w:tc>
              <w:tcPr>
                <w:tcW w:w="1611" w:type="dxa"/>
                <w:shd w:val="clear" w:color="auto" w:fill="auto"/>
              </w:tcPr>
              <w:p>
                <w:pPr>
                  <w:pStyle w:val="76"/>
                  <w:jc w:val="right"/>
                  <w:rPr>
                    <w:sz w:val="18"/>
                    <w:szCs w:val="18"/>
                  </w:rPr>
                </w:pPr>
              </w:p>
            </w:tc>
            <w:tc>
              <w:tcPr>
                <w:tcW w:w="1607" w:type="dxa"/>
                <w:shd w:val="clear" w:color="auto" w:fill="auto"/>
              </w:tcPr>
              <w:p>
                <w:pPr>
                  <w:pStyle w:val="76"/>
                  <w:jc w:val="right"/>
                  <w:rPr>
                    <w:sz w:val="18"/>
                    <w:szCs w:val="18"/>
                  </w:rPr>
                </w:pPr>
                <w:r>
                  <w:rPr>
                    <w:sz w:val="18"/>
                    <w:szCs w:val="18"/>
                  </w:rPr>
                  <w:t>94,650,126.10</w:t>
                </w:r>
              </w:p>
            </w:tc>
            <w:tc>
              <w:tcPr>
                <w:tcW w:w="1611" w:type="dxa"/>
                <w:shd w:val="clear" w:color="auto" w:fill="auto"/>
              </w:tcPr>
              <w:p>
                <w:pPr>
                  <w:pStyle w:val="76"/>
                  <w:jc w:val="right"/>
                  <w:rPr>
                    <w:sz w:val="18"/>
                    <w:szCs w:val="18"/>
                  </w:rPr>
                </w:pPr>
                <w:r>
                  <w:rPr>
                    <w:sz w:val="18"/>
                    <w:szCs w:val="18"/>
                  </w:rPr>
                  <w:t>94,650,126.10</w:t>
                </w:r>
              </w:p>
            </w:tc>
            <w:tc>
              <w:tcPr>
                <w:tcW w:w="1620"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d615e4da2a4948e5994fcc5682898c56"/>
                <w:id w:val="25155087"/>
                <w:lock w:val="sdtLocked"/>
              </w:sdtPr>
              <w:sdtEndPr>
                <w:rPr>
                  <w:sz w:val="18"/>
                  <w:szCs w:val="18"/>
                </w:rPr>
              </w:sdtEndPr>
              <w:sdtContent>
                <w:tc>
                  <w:tcPr>
                    <w:tcW w:w="2600" w:type="dxa"/>
                    <w:shd w:val="clear" w:color="auto" w:fill="auto"/>
                  </w:tcPr>
                  <w:p>
                    <w:pPr>
                      <w:pStyle w:val="76"/>
                      <w:rPr>
                        <w:sz w:val="18"/>
                        <w:szCs w:val="18"/>
                      </w:rPr>
                    </w:pPr>
                    <w:r>
                      <w:rPr>
                        <w:rFonts w:hint="eastAsia"/>
                        <w:sz w:val="18"/>
                        <w:szCs w:val="18"/>
                      </w:rPr>
                      <w:t>三、辞退福利</w:t>
                    </w:r>
                  </w:p>
                </w:tc>
              </w:sdtContent>
            </w:sdt>
            <w:tc>
              <w:tcPr>
                <w:tcW w:w="1611" w:type="dxa"/>
                <w:shd w:val="clear" w:color="auto" w:fill="auto"/>
              </w:tcPr>
              <w:p>
                <w:pPr>
                  <w:pStyle w:val="76"/>
                  <w:jc w:val="right"/>
                  <w:rPr>
                    <w:sz w:val="18"/>
                    <w:szCs w:val="18"/>
                  </w:rPr>
                </w:pPr>
              </w:p>
            </w:tc>
            <w:tc>
              <w:tcPr>
                <w:tcW w:w="1607" w:type="dxa"/>
                <w:shd w:val="clear" w:color="auto" w:fill="auto"/>
              </w:tcPr>
              <w:p>
                <w:pPr>
                  <w:pStyle w:val="76"/>
                  <w:jc w:val="right"/>
                  <w:rPr>
                    <w:sz w:val="18"/>
                    <w:szCs w:val="18"/>
                  </w:rPr>
                </w:pPr>
              </w:p>
            </w:tc>
            <w:tc>
              <w:tcPr>
                <w:tcW w:w="1611" w:type="dxa"/>
                <w:shd w:val="clear" w:color="auto" w:fill="auto"/>
              </w:tcPr>
              <w:p>
                <w:pPr>
                  <w:pStyle w:val="76"/>
                  <w:jc w:val="right"/>
                  <w:rPr>
                    <w:sz w:val="18"/>
                    <w:szCs w:val="18"/>
                  </w:rPr>
                </w:pPr>
              </w:p>
            </w:tc>
            <w:tc>
              <w:tcPr>
                <w:tcW w:w="1620"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f85ecebc2b9f455eb675b5c3c3edb84c"/>
                <w:id w:val="25155088"/>
                <w:lock w:val="sdtLocked"/>
              </w:sdtPr>
              <w:sdtEndPr>
                <w:rPr>
                  <w:sz w:val="18"/>
                  <w:szCs w:val="18"/>
                </w:rPr>
              </w:sdtEndPr>
              <w:sdtContent>
                <w:tc>
                  <w:tcPr>
                    <w:tcW w:w="2600" w:type="dxa"/>
                    <w:shd w:val="clear" w:color="auto" w:fill="auto"/>
                  </w:tcPr>
                  <w:p>
                    <w:pPr>
                      <w:pStyle w:val="76"/>
                      <w:rPr>
                        <w:sz w:val="18"/>
                        <w:szCs w:val="18"/>
                      </w:rPr>
                    </w:pPr>
                    <w:r>
                      <w:rPr>
                        <w:rFonts w:hint="eastAsia"/>
                        <w:sz w:val="18"/>
                        <w:szCs w:val="18"/>
                      </w:rPr>
                      <w:t>四、一年内到期的其他福利</w:t>
                    </w:r>
                  </w:p>
                </w:tc>
              </w:sdtContent>
            </w:sdt>
            <w:tc>
              <w:tcPr>
                <w:tcW w:w="1611" w:type="dxa"/>
                <w:shd w:val="clear" w:color="auto" w:fill="auto"/>
              </w:tcPr>
              <w:p>
                <w:pPr>
                  <w:pStyle w:val="76"/>
                  <w:jc w:val="right"/>
                  <w:rPr>
                    <w:sz w:val="18"/>
                    <w:szCs w:val="18"/>
                  </w:rPr>
                </w:pPr>
              </w:p>
            </w:tc>
            <w:tc>
              <w:tcPr>
                <w:tcW w:w="1607" w:type="dxa"/>
                <w:shd w:val="clear" w:color="auto" w:fill="auto"/>
              </w:tcPr>
              <w:p>
                <w:pPr>
                  <w:pStyle w:val="76"/>
                  <w:jc w:val="right"/>
                  <w:rPr>
                    <w:sz w:val="18"/>
                    <w:szCs w:val="18"/>
                  </w:rPr>
                </w:pPr>
              </w:p>
            </w:tc>
            <w:tc>
              <w:tcPr>
                <w:tcW w:w="1611" w:type="dxa"/>
                <w:shd w:val="clear" w:color="auto" w:fill="auto"/>
              </w:tcPr>
              <w:p>
                <w:pPr>
                  <w:pStyle w:val="76"/>
                  <w:jc w:val="right"/>
                  <w:rPr>
                    <w:sz w:val="18"/>
                    <w:szCs w:val="18"/>
                  </w:rPr>
                </w:pPr>
              </w:p>
            </w:tc>
            <w:tc>
              <w:tcPr>
                <w:tcW w:w="1620" w:type="dxa"/>
                <w:shd w:val="clear" w:color="auto" w:fill="auto"/>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ce2e7ac546346f4a7bec33299c89503"/>
                <w:id w:val="25155089"/>
                <w:lock w:val="sdtLocked"/>
              </w:sdtPr>
              <w:sdtEndPr>
                <w:rPr>
                  <w:sz w:val="18"/>
                  <w:szCs w:val="18"/>
                </w:rPr>
              </w:sdtEndPr>
              <w:sdtContent>
                <w:tc>
                  <w:tcPr>
                    <w:tcW w:w="2600" w:type="dxa"/>
                    <w:shd w:val="clear" w:color="auto" w:fill="auto"/>
                    <w:vAlign w:val="center"/>
                  </w:tcPr>
                  <w:p>
                    <w:pPr>
                      <w:pStyle w:val="76"/>
                      <w:jc w:val="center"/>
                      <w:rPr>
                        <w:sz w:val="18"/>
                        <w:szCs w:val="18"/>
                      </w:rPr>
                    </w:pPr>
                    <w:r>
                      <w:rPr>
                        <w:rFonts w:hint="eastAsia"/>
                        <w:sz w:val="18"/>
                        <w:szCs w:val="18"/>
                      </w:rPr>
                      <w:t>合计</w:t>
                    </w:r>
                  </w:p>
                </w:tc>
              </w:sdtContent>
            </w:sdt>
            <w:tc>
              <w:tcPr>
                <w:tcW w:w="1611" w:type="dxa"/>
                <w:shd w:val="clear" w:color="auto" w:fill="auto"/>
              </w:tcPr>
              <w:p>
                <w:pPr>
                  <w:pStyle w:val="76"/>
                  <w:jc w:val="right"/>
                  <w:rPr>
                    <w:sz w:val="18"/>
                    <w:szCs w:val="18"/>
                  </w:rPr>
                </w:pPr>
                <w:r>
                  <w:rPr>
                    <w:sz w:val="18"/>
                    <w:szCs w:val="18"/>
                  </w:rPr>
                  <w:t>82,850,795.71</w:t>
                </w:r>
              </w:p>
            </w:tc>
            <w:tc>
              <w:tcPr>
                <w:tcW w:w="1607" w:type="dxa"/>
                <w:shd w:val="clear" w:color="auto" w:fill="auto"/>
              </w:tcPr>
              <w:p>
                <w:pPr>
                  <w:pStyle w:val="76"/>
                  <w:jc w:val="right"/>
                  <w:rPr>
                    <w:sz w:val="18"/>
                    <w:szCs w:val="18"/>
                  </w:rPr>
                </w:pPr>
                <w:r>
                  <w:rPr>
                    <w:sz w:val="18"/>
                    <w:szCs w:val="18"/>
                  </w:rPr>
                  <w:t>940,572,371.13</w:t>
                </w:r>
              </w:p>
            </w:tc>
            <w:tc>
              <w:tcPr>
                <w:tcW w:w="1611" w:type="dxa"/>
                <w:shd w:val="clear" w:color="auto" w:fill="auto"/>
              </w:tcPr>
              <w:p>
                <w:pPr>
                  <w:pStyle w:val="76"/>
                  <w:jc w:val="right"/>
                  <w:rPr>
                    <w:sz w:val="18"/>
                    <w:szCs w:val="18"/>
                  </w:rPr>
                </w:pPr>
                <w:r>
                  <w:rPr>
                    <w:sz w:val="18"/>
                    <w:szCs w:val="18"/>
                  </w:rPr>
                  <w:t>932,321,526.86</w:t>
                </w:r>
              </w:p>
            </w:tc>
            <w:tc>
              <w:tcPr>
                <w:tcW w:w="1620" w:type="dxa"/>
                <w:shd w:val="clear" w:color="auto" w:fill="auto"/>
              </w:tcPr>
              <w:p>
                <w:pPr>
                  <w:pStyle w:val="76"/>
                  <w:jc w:val="right"/>
                  <w:rPr>
                    <w:sz w:val="18"/>
                    <w:szCs w:val="18"/>
                  </w:rPr>
                </w:pPr>
                <w:r>
                  <w:rPr>
                    <w:sz w:val="18"/>
                    <w:szCs w:val="18"/>
                  </w:rPr>
                  <w:t>91,101,639.98</w:t>
                </w:r>
              </w:p>
            </w:tc>
          </w:tr>
        </w:tbl>
        <w:p>
          <w:pPr>
            <w:pStyle w:val="76"/>
          </w:pPr>
        </w:p>
        <w:p>
          <w:pPr>
            <w:pStyle w:val="76"/>
          </w:pPr>
        </w:p>
      </w:sdtContent>
    </w:sdt>
    <w:sdt>
      <w:sdtPr>
        <w:rPr>
          <w:rFonts w:hint="eastAsia" w:ascii="宋体" w:hAnsi="宋体" w:cs="宋体"/>
          <w:b w:val="0"/>
          <w:bCs w:val="0"/>
          <w:kern w:val="0"/>
          <w:szCs w:val="24"/>
        </w:rPr>
        <w:alias w:val="模块:短期薪酬列示"/>
        <w:tag w:val="_GBC_8889528627cf49dfa80ba4d972a53405"/>
        <w:id w:val="25155110"/>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66"/>
            </w:numPr>
          </w:pPr>
          <w:r>
            <w:rPr>
              <w:rFonts w:hint="eastAsia"/>
            </w:rPr>
            <w:t>短期薪酬列示：</w:t>
          </w:r>
        </w:p>
        <w:sdt>
          <w:sdtPr>
            <w:alias w:val="是否适用：短期薪酬列示[双击切换]"/>
            <w:tag w:val="_GBC_fe9cc4ffdf524f4695448b31c76167ce"/>
            <w:id w:val="2515509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短期薪酬"/>
              <w:tag w:val="_GBC_f5a2a934147944d68f11ca2bcce4d80f"/>
              <w:id w:val="251550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51550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613"/>
            <w:gridCol w:w="1594"/>
            <w:gridCol w:w="160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b5378bc64e24511ae79d643c80f9c98"/>
                <w:id w:val="25155094"/>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项目</w:t>
                    </w:r>
                  </w:p>
                </w:tc>
              </w:sdtContent>
            </w:sdt>
            <w:sdt>
              <w:sdtPr>
                <w:rPr>
                  <w:sz w:val="18"/>
                  <w:szCs w:val="18"/>
                </w:rPr>
                <w:tag w:val="_PLD_0144fa4bad154236aa75e1dcc0a89e56"/>
                <w:id w:val="25155095"/>
                <w:lock w:val="sdtLocked"/>
              </w:sdtPr>
              <w:sdtEndPr>
                <w:rPr>
                  <w:sz w:val="18"/>
                  <w:szCs w:val="18"/>
                </w:rPr>
              </w:sdtEndPr>
              <w:sdtContent>
                <w:tc>
                  <w:tcPr>
                    <w:tcW w:w="1613"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期初余额</w:t>
                    </w:r>
                  </w:p>
                </w:tc>
              </w:sdtContent>
            </w:sdt>
            <w:sdt>
              <w:sdtPr>
                <w:rPr>
                  <w:sz w:val="18"/>
                  <w:szCs w:val="18"/>
                </w:rPr>
                <w:tag w:val="_PLD_2d15a4a9e10b4386a7ed67bc2137e04a"/>
                <w:id w:val="25155096"/>
                <w:lock w:val="sdtLocked"/>
              </w:sdtPr>
              <w:sdtEndPr>
                <w:rPr>
                  <w:sz w:val="18"/>
                  <w:szCs w:val="18"/>
                </w:rPr>
              </w:sdtEndPr>
              <w:sdtContent>
                <w:tc>
                  <w:tcPr>
                    <w:tcW w:w="1594"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本期增加</w:t>
                    </w:r>
                  </w:p>
                </w:tc>
              </w:sdtContent>
            </w:sdt>
            <w:sdt>
              <w:sdtPr>
                <w:rPr>
                  <w:sz w:val="18"/>
                  <w:szCs w:val="18"/>
                </w:rPr>
                <w:tag w:val="_PLD_12a2bbefe0874cde83fdb77f4a4158a1"/>
                <w:id w:val="25155097"/>
                <w:lock w:val="sdtLocked"/>
              </w:sdtPr>
              <w:sdtEndPr>
                <w:rPr>
                  <w:sz w:val="18"/>
                  <w:szCs w:val="18"/>
                </w:rPr>
              </w:sdtEndPr>
              <w:sdtContent>
                <w:tc>
                  <w:tcPr>
                    <w:tcW w:w="1609"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本期减少</w:t>
                    </w:r>
                  </w:p>
                </w:tc>
              </w:sdtContent>
            </w:sdt>
            <w:sdt>
              <w:sdtPr>
                <w:rPr>
                  <w:sz w:val="18"/>
                  <w:szCs w:val="18"/>
                </w:rPr>
                <w:tag w:val="_PLD_190d6bcbbde148ffb48f230c6d9d7186"/>
                <w:id w:val="25155098"/>
                <w:lock w:val="sdtLocked"/>
              </w:sdtPr>
              <w:sdtEndPr>
                <w:rPr>
                  <w:sz w:val="18"/>
                  <w:szCs w:val="18"/>
                </w:rPr>
              </w:sdtEndPr>
              <w:sdtContent>
                <w:tc>
                  <w:tcPr>
                    <w:tcW w:w="16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24db0ed8285493c9b46db6af314618d"/>
                <w:id w:val="25155099"/>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一、工资、奖金、津贴和补贴</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682,372,148.46</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682,372,148.46</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f557df41d0484816863da6fa2f5bb6e0"/>
                <w:id w:val="25155100"/>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二、职工福利费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40,218,289.21</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40,218,289.21</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dbac61dc87104ba08157258eaf632c94"/>
                <w:id w:val="25155101"/>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三、社会保险费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43,215,499.04</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43,215,499.04</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1ae6ec180f494dc4bdbe2a71caadcf9d"/>
                <w:id w:val="25155102"/>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rPr>
                        <w:color w:val="008000"/>
                        <w:sz w:val="18"/>
                        <w:szCs w:val="18"/>
                      </w:rPr>
                    </w:pPr>
                    <w:r>
                      <w:rPr>
                        <w:rFonts w:hint="eastAsia"/>
                        <w:sz w:val="18"/>
                        <w:szCs w:val="18"/>
                      </w:rPr>
                      <w:t>其中：</w:t>
                    </w:r>
                    <w:r>
                      <w:rPr>
                        <w:sz w:val="18"/>
                        <w:szCs w:val="18"/>
                      </w:rPr>
                      <w:t>医疗保险费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35,725,259.10</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35,725,259.10</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5396281963e4191a16040ecc2da4b44"/>
                <w:id w:val="25155103"/>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ind w:firstLine="540" w:firstLineChars="300"/>
                      <w:rPr>
                        <w:sz w:val="18"/>
                        <w:szCs w:val="18"/>
                      </w:rPr>
                    </w:pPr>
                    <w:r>
                      <w:rPr>
                        <w:rFonts w:hint="eastAsia"/>
                        <w:sz w:val="18"/>
                        <w:szCs w:val="18"/>
                      </w:rPr>
                      <w:t>工伤保险费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5,108,486.23</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5,108,486.23</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04a3b1683d741ebb83bd99deed156d6"/>
                <w:id w:val="25155104"/>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ind w:firstLine="540" w:firstLineChars="300"/>
                      <w:rPr>
                        <w:sz w:val="18"/>
                        <w:szCs w:val="18"/>
                      </w:rPr>
                    </w:pPr>
                    <w:r>
                      <w:rPr>
                        <w:rFonts w:hint="eastAsia"/>
                        <w:sz w:val="18"/>
                        <w:szCs w:val="18"/>
                      </w:rPr>
                      <w:t>生育保险费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2,381,753.71</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2,381,753.71</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cd8935ff2544a81820fdc14f7afe2b7"/>
                <w:id w:val="25155105"/>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四、住房公积金</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56,233,283.00</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56,233,283.00</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a4d3040fb464e23a007dcea5588dfc0"/>
                <w:id w:val="25155106"/>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五、工会经费和职工教育经费</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82,850,795.71</w:t>
                </w: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23,883,025.32</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15,632,181.05</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91,101,639.98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c842d3a1ac64d43805380b3757b59de"/>
                <w:id w:val="25155107"/>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六、短期带薪缺勤</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4541d44000e431dabc3b1ad9c535a6b"/>
                <w:id w:val="25155108"/>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rFonts w:hint="eastAsia"/>
                        <w:sz w:val="18"/>
                        <w:szCs w:val="18"/>
                      </w:rPr>
                      <w:t>七、短期利润分享计划</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abbed23473c4b4bb51ec9b7d667e31c"/>
                <w:id w:val="25155109"/>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 w:val="18"/>
                        <w:szCs w:val="18"/>
                      </w:rPr>
                    </w:pPr>
                    <w:r>
                      <w:rPr>
                        <w:rFonts w:hint="eastAsia"/>
                        <w:sz w:val="18"/>
                        <w:szCs w:val="18"/>
                      </w:rPr>
                      <w:t>合计</w:t>
                    </w:r>
                  </w:p>
                </w:tc>
              </w:sdtContent>
            </w:sdt>
            <w:tc>
              <w:tcPr>
                <w:tcW w:w="1613"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82,850,795.71</w:t>
                </w:r>
              </w:p>
            </w:tc>
            <w:tc>
              <w:tcPr>
                <w:tcW w:w="1594"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845,922,245.03</w:t>
                </w:r>
              </w:p>
            </w:tc>
            <w:tc>
              <w:tcPr>
                <w:tcW w:w="1609"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837,671,400.76</w:t>
                </w:r>
              </w:p>
            </w:tc>
            <w:tc>
              <w:tcPr>
                <w:tcW w:w="1620" w:type="dxa"/>
                <w:tcBorders>
                  <w:top w:val="single" w:color="auto" w:sz="4" w:space="0"/>
                  <w:left w:val="single" w:color="auto" w:sz="4" w:space="0"/>
                  <w:bottom w:val="single" w:color="auto" w:sz="4" w:space="0"/>
                  <w:right w:val="single" w:color="auto" w:sz="4" w:space="0"/>
                </w:tcBorders>
              </w:tcPr>
              <w:p>
                <w:pPr>
                  <w:pStyle w:val="76"/>
                  <w:jc w:val="right"/>
                  <w:rPr>
                    <w:sz w:val="18"/>
                    <w:szCs w:val="18"/>
                  </w:rPr>
                </w:pPr>
                <w:r>
                  <w:rPr>
                    <w:sz w:val="18"/>
                    <w:szCs w:val="18"/>
                  </w:rPr>
                  <w:t>91,101,639.98</w:t>
                </w:r>
              </w:p>
            </w:tc>
          </w:tr>
        </w:tbl>
        <w:p>
          <w:pPr>
            <w:pStyle w:val="76"/>
          </w:pPr>
        </w:p>
        <w:p>
          <w:pPr>
            <w:pStyle w:val="76"/>
            <w:rPr>
              <w:color w:val="000000" w:themeColor="text1"/>
              <w:szCs w:val="21"/>
            </w:rPr>
          </w:pPr>
        </w:p>
      </w:sdtContent>
    </w:sdt>
    <w:sdt>
      <w:sdtPr>
        <w:rPr>
          <w:rFonts w:hint="eastAsia" w:ascii="宋体" w:hAnsi="宋体" w:cs="宋体"/>
          <w:b w:val="0"/>
          <w:bCs w:val="0"/>
          <w:kern w:val="0"/>
          <w:szCs w:val="21"/>
        </w:rPr>
        <w:alias w:val="模块:设定提存计划列示"/>
        <w:tag w:val="_GBC_b98ebc9fce454755bd30d763bee0283a"/>
        <w:id w:val="25155123"/>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66"/>
            </w:numPr>
            <w:rPr>
              <w:szCs w:val="21"/>
            </w:rPr>
          </w:pPr>
          <w:r>
            <w:rPr>
              <w:rFonts w:hint="eastAsia"/>
              <w:szCs w:val="21"/>
            </w:rPr>
            <w:t>设定提存计划列示</w:t>
          </w:r>
        </w:p>
        <w:sdt>
          <w:sdtPr>
            <w:alias w:val="是否适用：设定提存计划列示[双击切换]"/>
            <w:tag w:val="_GBC_107b7eec6d75473e8809e93d01e00021"/>
            <w:id w:val="2515511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设定提存计划列示"/>
              <w:tag w:val="_GBC_744d8f829e6040c78616ef1951ef7e59"/>
              <w:id w:val="251551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251551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623"/>
            <w:gridCol w:w="1609"/>
            <w:gridCol w:w="163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a9011ca6bd4cc895a50279da6547e9"/>
                <w:id w:val="25155114"/>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项目</w:t>
                    </w:r>
                  </w:p>
                </w:tc>
              </w:sdtContent>
            </w:sdt>
            <w:sdt>
              <w:sdtPr>
                <w:tag w:val="_PLD_db9ecea0e08e4c1bb5fe2474183a8480"/>
                <w:id w:val="25155115"/>
                <w:lock w:val="sdtLocked"/>
              </w:sdtPr>
              <w:sdtContent>
                <w:tc>
                  <w:tcPr>
                    <w:tcW w:w="162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期初余额</w:t>
                    </w:r>
                  </w:p>
                </w:tc>
              </w:sdtContent>
            </w:sdt>
            <w:sdt>
              <w:sdtPr>
                <w:tag w:val="_PLD_11b6b53867b44c92b19ef791cad0c8c4"/>
                <w:id w:val="25155116"/>
                <w:lock w:val="sdtLocked"/>
              </w:sdtPr>
              <w:sdtContent>
                <w:tc>
                  <w:tcPr>
                    <w:tcW w:w="160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本期增加</w:t>
                    </w:r>
                  </w:p>
                </w:tc>
              </w:sdtContent>
            </w:sdt>
            <w:sdt>
              <w:sdtPr>
                <w:tag w:val="_PLD_c2cbd009dd4248ceb9040da5fc326084"/>
                <w:id w:val="25155117"/>
                <w:lock w:val="sdtLocked"/>
              </w:sdtPr>
              <w:sdtContent>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本期减少</w:t>
                    </w:r>
                  </w:p>
                </w:tc>
              </w:sdtContent>
            </w:sdt>
            <w:sdt>
              <w:sdtPr>
                <w:tag w:val="_PLD_0ded00fbf217420ebfe8ace86c12086d"/>
                <w:id w:val="25155118"/>
                <w:lock w:val="sdtLocked"/>
              </w:sdtPr>
              <w:sdtContent>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3c5842361145079010296748b2acbc"/>
                <w:id w:val="25155119"/>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pPr>
                      <w:pStyle w:val="76"/>
                    </w:pPr>
                    <w:r>
                      <w:rPr>
                        <w:rFonts w:hint="eastAsia"/>
                      </w:rPr>
                      <w:t>1、基本养老保险</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pStyle w:val="76"/>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92,265,997.10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92,265,997.10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09a72476f78427892237821bb7d583f"/>
                <w:id w:val="25155120"/>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pPr>
                      <w:pStyle w:val="76"/>
                    </w:pPr>
                    <w:r>
                      <w:rPr>
                        <w:rFonts w:hint="eastAsia"/>
                      </w:rPr>
                      <w:t>2、失业保险费</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pStyle w:val="76"/>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2,384,129.00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2,384,129.00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2bb08099d4d4b2a96054f71c4e23a24"/>
                <w:id w:val="25155121"/>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pPr>
                      <w:pStyle w:val="76"/>
                    </w:pPr>
                    <w:r>
                      <w:rPr>
                        <w:rFonts w:hint="eastAsia"/>
                      </w:rPr>
                      <w:t>3、企业年金缴费</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pStyle w:val="76"/>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c>
              <w:tcPr>
                <w:tcW w:w="16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58ec0cea28b41718457ba73ff6955af"/>
                <w:id w:val="25155122"/>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6"/>
                      <w:jc w:val="center"/>
                    </w:pPr>
                    <w:r>
                      <w:rPr>
                        <w:rFonts w:hint="eastAsia"/>
                      </w:rPr>
                      <w:t>合计</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pStyle w:val="76"/>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94,650,126.10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94,650,126.10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p>
            </w:tc>
          </w:tr>
        </w:tbl>
        <w:p>
          <w:pPr>
            <w:pStyle w:val="76"/>
          </w:pPr>
        </w:p>
        <w:p>
          <w:pPr>
            <w:pStyle w:val="76"/>
            <w:autoSpaceDE w:val="0"/>
            <w:autoSpaceDN w:val="0"/>
            <w:adjustRightInd w:val="0"/>
            <w:rPr>
              <w:szCs w:val="21"/>
            </w:rPr>
          </w:pPr>
        </w:p>
      </w:sdtContent>
    </w:sdt>
    <w:sdt>
      <w:sdtPr>
        <w:rPr>
          <w:rFonts w:hint="eastAsia"/>
          <w:szCs w:val="21"/>
        </w:rPr>
        <w:alias w:val="模块:应付职工薪酬说明"/>
        <w:tag w:val="_GBC_9173eff793e04226ba65f69088a27313"/>
        <w:id w:val="25155125"/>
        <w:lock w:val="sdtLocked"/>
        <w:placeholder>
          <w:docPart w:val="GBC22222222222222222222222222222"/>
        </w:placeholder>
      </w:sdtPr>
      <w:sdtEndPr>
        <w:rPr>
          <w:rFonts w:hint="eastAsia"/>
          <w:szCs w:val="21"/>
        </w:rPr>
      </w:sdtEndPr>
      <w:sdtContent>
        <w:p>
          <w:pPr>
            <w:pStyle w:val="76"/>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5155124"/>
            <w:lock w:val="sdtContentLocked"/>
            <w:placeholder>
              <w:docPart w:val="GBC22222222222222222222222222222"/>
            </w:placeholder>
          </w:sdtPr>
          <w:sdtEndPr>
            <w:rPr>
              <w:szCs w:val="21"/>
            </w:rPr>
          </w:sdtEndPr>
          <w:sdtContent>
            <w:p>
              <w:pPr>
                <w:pStyle w:val="76"/>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autoSpaceDE w:val="0"/>
        <w:autoSpaceDN w:val="0"/>
        <w:adjustRightInd w:val="0"/>
        <w:rPr>
          <w:szCs w:val="21"/>
        </w:rPr>
      </w:pPr>
    </w:p>
    <w:sdt>
      <w:sdtPr>
        <w:rPr>
          <w:rFonts w:hint="eastAsia" w:ascii="宋体" w:hAnsi="宋体" w:cs="宋体"/>
          <w:b w:val="0"/>
          <w:bCs w:val="0"/>
          <w:kern w:val="0"/>
          <w:szCs w:val="21"/>
        </w:rPr>
        <w:alias w:val="模块:应交税费"/>
        <w:tag w:val="_GBC_50fc9ef51868432e98c401f69097dfc6"/>
        <w:id w:val="25155142"/>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应交税费</w:t>
          </w:r>
        </w:p>
        <w:sdt>
          <w:sdtPr>
            <w:alias w:val="是否适用：应交税费[双击切换]"/>
            <w:tag w:val="_GBC_e7e2664720b9408384c5d3cd6d97c132"/>
            <w:id w:val="2515512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应交税费"/>
              <w:tag w:val="_GBC_a6162c9f021640929018406be611b834"/>
              <w:id w:val="251551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25155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980"/>
            <w:gridCol w:w="295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b0019be2d10489d885d15626d85168f"/>
                <w:id w:val="25155129"/>
                <w:lock w:val="sdtLocked"/>
              </w:sdtPr>
              <w:sdtContent>
                <w:tc>
                  <w:tcPr>
                    <w:tcW w:w="2980" w:type="dxa"/>
                    <w:vAlign w:val="center"/>
                  </w:tcPr>
                  <w:p>
                    <w:pPr>
                      <w:pStyle w:val="76"/>
                      <w:ind w:right="105"/>
                      <w:jc w:val="center"/>
                      <w:rPr>
                        <w:szCs w:val="21"/>
                      </w:rPr>
                    </w:pPr>
                    <w:r>
                      <w:rPr>
                        <w:rFonts w:hint="eastAsia"/>
                        <w:szCs w:val="21"/>
                      </w:rPr>
                      <w:t>项目</w:t>
                    </w:r>
                  </w:p>
                </w:tc>
              </w:sdtContent>
            </w:sdt>
            <w:sdt>
              <w:sdtPr>
                <w:tag w:val="_PLD_4d086e8f4e004ee3aa116a5d10a7ecbd"/>
                <w:id w:val="25155130"/>
                <w:lock w:val="sdtLocked"/>
              </w:sdtPr>
              <w:sdtContent>
                <w:tc>
                  <w:tcPr>
                    <w:tcW w:w="2955" w:type="dxa"/>
                    <w:vAlign w:val="center"/>
                  </w:tcPr>
                  <w:p>
                    <w:pPr>
                      <w:pStyle w:val="76"/>
                      <w:jc w:val="center"/>
                      <w:rPr>
                        <w:szCs w:val="21"/>
                      </w:rPr>
                    </w:pPr>
                    <w:r>
                      <w:rPr>
                        <w:rFonts w:hint="eastAsia"/>
                        <w:szCs w:val="21"/>
                      </w:rPr>
                      <w:t>期末余额</w:t>
                    </w:r>
                  </w:p>
                </w:tc>
              </w:sdtContent>
            </w:sdt>
            <w:sdt>
              <w:sdtPr>
                <w:tag w:val="_PLD_8b866f731e474c6ebfb67cd903ab95c8"/>
                <w:id w:val="25155131"/>
                <w:lock w:val="sdtLocked"/>
              </w:sdtPr>
              <w:sdtContent>
                <w:tc>
                  <w:tcPr>
                    <w:tcW w:w="2960" w:type="dxa"/>
                    <w:vAlign w:val="center"/>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5992e1feab349b78cb44e1cc32b16bd"/>
                <w:id w:val="25155132"/>
                <w:lock w:val="sdtLocked"/>
              </w:sdtPr>
              <w:sdtContent>
                <w:tc>
                  <w:tcPr>
                    <w:tcW w:w="2980" w:type="dxa"/>
                    <w:shd w:val="clear" w:color="auto" w:fill="auto"/>
                  </w:tcPr>
                  <w:p>
                    <w:pPr>
                      <w:pStyle w:val="76"/>
                      <w:ind w:right="105"/>
                      <w:rPr>
                        <w:szCs w:val="21"/>
                      </w:rPr>
                    </w:pPr>
                    <w:r>
                      <w:rPr>
                        <w:rFonts w:hint="eastAsia"/>
                        <w:szCs w:val="21"/>
                      </w:rPr>
                      <w:t>增值税</w:t>
                    </w:r>
                  </w:p>
                </w:tc>
              </w:sdtContent>
            </w:sdt>
            <w:tc>
              <w:tcPr>
                <w:tcW w:w="2955" w:type="dxa"/>
                <w:shd w:val="clear" w:color="auto" w:fill="auto"/>
              </w:tcPr>
              <w:p>
                <w:pPr>
                  <w:pStyle w:val="76"/>
                  <w:ind w:right="73"/>
                  <w:jc w:val="right"/>
                  <w:rPr>
                    <w:szCs w:val="21"/>
                  </w:rPr>
                </w:pPr>
                <w:r>
                  <w:rPr>
                    <w:rFonts w:hint="eastAsia"/>
                  </w:rPr>
                  <w:t>-630,749.55</w:t>
                </w:r>
              </w:p>
            </w:tc>
            <w:tc>
              <w:tcPr>
                <w:tcW w:w="2960" w:type="dxa"/>
                <w:shd w:val="clear" w:color="auto" w:fill="auto"/>
              </w:tcPr>
              <w:p>
                <w:pPr>
                  <w:pStyle w:val="76"/>
                  <w:jc w:val="right"/>
                  <w:rPr>
                    <w:szCs w:val="21"/>
                  </w:rPr>
                </w:pPr>
                <w:r>
                  <w:t>81,377,744.00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6069f9b576594e2eaf73c76c1080318c"/>
                <w:id w:val="25155133"/>
                <w:lock w:val="sdtLocked"/>
              </w:sdtPr>
              <w:sdtContent>
                <w:tc>
                  <w:tcPr>
                    <w:tcW w:w="2980" w:type="dxa"/>
                    <w:shd w:val="clear" w:color="auto" w:fill="auto"/>
                  </w:tcPr>
                  <w:p>
                    <w:pPr>
                      <w:pStyle w:val="76"/>
                      <w:ind w:right="105"/>
                      <w:rPr>
                        <w:szCs w:val="21"/>
                      </w:rPr>
                    </w:pPr>
                    <w:r>
                      <w:rPr>
                        <w:rFonts w:hint="eastAsia"/>
                        <w:szCs w:val="21"/>
                      </w:rPr>
                      <w:t>企业所得税</w:t>
                    </w:r>
                  </w:p>
                </w:tc>
              </w:sdtContent>
            </w:sdt>
            <w:tc>
              <w:tcPr>
                <w:tcW w:w="2955" w:type="dxa"/>
                <w:shd w:val="clear" w:color="auto" w:fill="auto"/>
              </w:tcPr>
              <w:p>
                <w:pPr>
                  <w:pStyle w:val="76"/>
                  <w:ind w:right="73"/>
                  <w:jc w:val="right"/>
                  <w:rPr>
                    <w:szCs w:val="21"/>
                  </w:rPr>
                </w:pPr>
                <w:r>
                  <w:rPr>
                    <w:rFonts w:hint="eastAsia"/>
                  </w:rPr>
                  <w:t>293,541,327.00</w:t>
                </w:r>
              </w:p>
            </w:tc>
            <w:tc>
              <w:tcPr>
                <w:tcW w:w="2960" w:type="dxa"/>
                <w:shd w:val="clear" w:color="auto" w:fill="auto"/>
              </w:tcPr>
              <w:p>
                <w:pPr>
                  <w:pStyle w:val="76"/>
                  <w:jc w:val="right"/>
                  <w:rPr>
                    <w:szCs w:val="21"/>
                  </w:rPr>
                </w:pPr>
                <w:r>
                  <w:t>240,535,080.89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6c030e64d064b19abe68ec0d74ffc7b"/>
                <w:id w:val="25155134"/>
                <w:lock w:val="sdtLocked"/>
              </w:sdtPr>
              <w:sdtContent>
                <w:tc>
                  <w:tcPr>
                    <w:tcW w:w="2980" w:type="dxa"/>
                    <w:shd w:val="clear" w:color="auto" w:fill="auto"/>
                  </w:tcPr>
                  <w:p>
                    <w:pPr>
                      <w:pStyle w:val="76"/>
                      <w:ind w:right="105"/>
                      <w:rPr>
                        <w:szCs w:val="21"/>
                      </w:rPr>
                    </w:pPr>
                    <w:r>
                      <w:rPr>
                        <w:rFonts w:hint="eastAsia"/>
                      </w:rPr>
                      <w:t>教育费附加</w:t>
                    </w:r>
                  </w:p>
                </w:tc>
              </w:sdtContent>
            </w:sdt>
            <w:tc>
              <w:tcPr>
                <w:tcW w:w="2955" w:type="dxa"/>
                <w:shd w:val="clear" w:color="auto" w:fill="auto"/>
              </w:tcPr>
              <w:p>
                <w:pPr>
                  <w:pStyle w:val="76"/>
                  <w:ind w:right="73"/>
                  <w:jc w:val="right"/>
                  <w:rPr>
                    <w:szCs w:val="21"/>
                  </w:rPr>
                </w:pPr>
                <w:r>
                  <w:rPr>
                    <w:szCs w:val="21"/>
                  </w:rPr>
                  <w:t>-31,394.63</w:t>
                </w:r>
              </w:p>
            </w:tc>
            <w:tc>
              <w:tcPr>
                <w:tcW w:w="2960" w:type="dxa"/>
                <w:shd w:val="clear" w:color="auto" w:fill="auto"/>
              </w:tcPr>
              <w:p>
                <w:pPr>
                  <w:pStyle w:val="76"/>
                  <w:jc w:val="right"/>
                  <w:rPr>
                    <w:szCs w:val="21"/>
                  </w:rPr>
                </w:pPr>
                <w:r>
                  <w:t>3,678,475.87</w:t>
                </w:r>
              </w:p>
            </w:tc>
          </w:tr>
          <w:sdt>
            <w:sdtPr>
              <w:rPr>
                <w:rFonts w:hint="eastAsia"/>
                <w:szCs w:val="21"/>
              </w:rPr>
              <w:alias w:val="应交税金明细"/>
              <w:tag w:val="_GBC_0480c028aa8b4cf2885f8f1d9b64c155"/>
              <w:id w:val="2515513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76"/>
                      <w:ind w:right="105"/>
                      <w:rPr>
                        <w:szCs w:val="21"/>
                      </w:rPr>
                    </w:pPr>
                    <w:r>
                      <w:rPr>
                        <w:rFonts w:hint="eastAsia"/>
                        <w:szCs w:val="21"/>
                      </w:rPr>
                      <w:t>城市维护建设税</w:t>
                    </w:r>
                  </w:p>
                </w:tc>
                <w:tc>
                  <w:tcPr>
                    <w:tcW w:w="2955" w:type="dxa"/>
                  </w:tcPr>
                  <w:p>
                    <w:pPr>
                      <w:pStyle w:val="76"/>
                      <w:ind w:right="73"/>
                      <w:jc w:val="right"/>
                      <w:rPr>
                        <w:szCs w:val="21"/>
                      </w:rPr>
                    </w:pPr>
                    <w:r>
                      <w:rPr>
                        <w:szCs w:val="21"/>
                      </w:rPr>
                      <w:t>-43,952.47</w:t>
                    </w:r>
                  </w:p>
                </w:tc>
                <w:tc>
                  <w:tcPr>
                    <w:tcW w:w="2960" w:type="dxa"/>
                  </w:tcPr>
                  <w:p>
                    <w:pPr>
                      <w:pStyle w:val="76"/>
                      <w:jc w:val="right"/>
                      <w:rPr>
                        <w:szCs w:val="21"/>
                      </w:rPr>
                    </w:pPr>
                    <w:r>
                      <w:t>5,149,866.23</w:t>
                    </w:r>
                  </w:p>
                </w:tc>
              </w:tr>
            </w:sdtContent>
          </w:sdt>
          <w:sdt>
            <w:sdtPr>
              <w:rPr>
                <w:rFonts w:hint="eastAsia"/>
                <w:szCs w:val="21"/>
              </w:rPr>
              <w:alias w:val="应交税金明细"/>
              <w:tag w:val="_GBC_0480c028aa8b4cf2885f8f1d9b64c155"/>
              <w:id w:val="2515513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76"/>
                      <w:ind w:right="105"/>
                      <w:rPr>
                        <w:szCs w:val="21"/>
                      </w:rPr>
                    </w:pPr>
                    <w:r>
                      <w:t>房产税</w:t>
                    </w:r>
                  </w:p>
                </w:tc>
                <w:tc>
                  <w:tcPr>
                    <w:tcW w:w="2955" w:type="dxa"/>
                  </w:tcPr>
                  <w:p>
                    <w:pPr>
                      <w:pStyle w:val="76"/>
                      <w:ind w:right="73"/>
                      <w:jc w:val="right"/>
                      <w:rPr>
                        <w:szCs w:val="21"/>
                      </w:rPr>
                    </w:pPr>
                    <w:r>
                      <w:rPr>
                        <w:szCs w:val="21"/>
                      </w:rPr>
                      <w:t>7,200</w:t>
                    </w:r>
                  </w:p>
                </w:tc>
                <w:tc>
                  <w:tcPr>
                    <w:tcW w:w="2960" w:type="dxa"/>
                  </w:tcPr>
                  <w:p>
                    <w:pPr>
                      <w:pStyle w:val="76"/>
                      <w:jc w:val="right"/>
                      <w:rPr>
                        <w:szCs w:val="21"/>
                      </w:rPr>
                    </w:pPr>
                    <w:r>
                      <w:t>9,707,769.16</w:t>
                    </w:r>
                  </w:p>
                </w:tc>
              </w:tr>
            </w:sdtContent>
          </w:sdt>
          <w:sdt>
            <w:sdtPr>
              <w:rPr>
                <w:rFonts w:hint="eastAsia"/>
                <w:szCs w:val="21"/>
              </w:rPr>
              <w:alias w:val="应交税金明细"/>
              <w:tag w:val="_GBC_0480c028aa8b4cf2885f8f1d9b64c155"/>
              <w:id w:val="2515513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76"/>
                      <w:ind w:right="105"/>
                      <w:rPr>
                        <w:szCs w:val="21"/>
                      </w:rPr>
                    </w:pPr>
                    <w:r>
                      <w:t>印花税</w:t>
                    </w:r>
                  </w:p>
                </w:tc>
                <w:tc>
                  <w:tcPr>
                    <w:tcW w:w="2955" w:type="dxa"/>
                  </w:tcPr>
                  <w:p>
                    <w:pPr>
                      <w:pStyle w:val="76"/>
                      <w:ind w:right="73"/>
                      <w:jc w:val="right"/>
                      <w:rPr>
                        <w:szCs w:val="21"/>
                      </w:rPr>
                    </w:pPr>
                  </w:p>
                </w:tc>
                <w:tc>
                  <w:tcPr>
                    <w:tcW w:w="2960" w:type="dxa"/>
                  </w:tcPr>
                  <w:p>
                    <w:pPr>
                      <w:pStyle w:val="76"/>
                      <w:jc w:val="right"/>
                      <w:rPr>
                        <w:szCs w:val="21"/>
                      </w:rPr>
                    </w:pPr>
                    <w:r>
                      <w:t>14,644,023.93</w:t>
                    </w:r>
                  </w:p>
                </w:tc>
              </w:tr>
            </w:sdtContent>
          </w:sdt>
          <w:sdt>
            <w:sdtPr>
              <w:rPr>
                <w:rFonts w:hint="eastAsia"/>
                <w:szCs w:val="21"/>
              </w:rPr>
              <w:alias w:val="应交税金明细"/>
              <w:tag w:val="_GBC_0480c028aa8b4cf2885f8f1d9b64c155"/>
              <w:id w:val="25155138"/>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76"/>
                      <w:ind w:right="105"/>
                      <w:rPr>
                        <w:szCs w:val="21"/>
                      </w:rPr>
                    </w:pPr>
                    <w:r>
                      <w:t>水利建设基金</w:t>
                    </w:r>
                  </w:p>
                </w:tc>
                <w:tc>
                  <w:tcPr>
                    <w:tcW w:w="2955" w:type="dxa"/>
                  </w:tcPr>
                  <w:p>
                    <w:pPr>
                      <w:pStyle w:val="76"/>
                      <w:ind w:right="73"/>
                      <w:jc w:val="right"/>
                      <w:rPr>
                        <w:szCs w:val="21"/>
                      </w:rPr>
                    </w:pPr>
                    <w:r>
                      <w:rPr>
                        <w:szCs w:val="21"/>
                      </w:rPr>
                      <w:t>164,423,922.19</w:t>
                    </w:r>
                  </w:p>
                </w:tc>
                <w:tc>
                  <w:tcPr>
                    <w:tcW w:w="2960" w:type="dxa"/>
                  </w:tcPr>
                  <w:p>
                    <w:pPr>
                      <w:pStyle w:val="76"/>
                      <w:jc w:val="right"/>
                      <w:rPr>
                        <w:szCs w:val="21"/>
                      </w:rPr>
                    </w:pPr>
                    <w:r>
                      <w:t>155,228,443.40</w:t>
                    </w:r>
                  </w:p>
                </w:tc>
              </w:tr>
            </w:sdtContent>
          </w:sdt>
          <w:sdt>
            <w:sdtPr>
              <w:rPr>
                <w:rFonts w:hint="eastAsia"/>
                <w:szCs w:val="21"/>
              </w:rPr>
              <w:alias w:val="应交税金明细"/>
              <w:tag w:val="_GBC_0480c028aa8b4cf2885f8f1d9b64c155"/>
              <w:id w:val="2515513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76"/>
                      <w:ind w:right="105"/>
                      <w:rPr>
                        <w:szCs w:val="21"/>
                      </w:rPr>
                    </w:pPr>
                    <w:r>
                      <w:t>简易计税</w:t>
                    </w:r>
                  </w:p>
                </w:tc>
                <w:tc>
                  <w:tcPr>
                    <w:tcW w:w="2955" w:type="dxa"/>
                  </w:tcPr>
                  <w:p>
                    <w:pPr>
                      <w:pStyle w:val="76"/>
                      <w:ind w:right="73"/>
                      <w:jc w:val="right"/>
                      <w:rPr>
                        <w:szCs w:val="21"/>
                      </w:rPr>
                    </w:pPr>
                    <w:r>
                      <w:rPr>
                        <w:szCs w:val="21"/>
                      </w:rPr>
                      <w:t>2,857.14</w:t>
                    </w:r>
                  </w:p>
                </w:tc>
                <w:tc>
                  <w:tcPr>
                    <w:tcW w:w="2960" w:type="dxa"/>
                  </w:tcPr>
                  <w:p>
                    <w:pPr>
                      <w:pStyle w:val="76"/>
                      <w:jc w:val="right"/>
                      <w:rPr>
                        <w:szCs w:val="21"/>
                      </w:rPr>
                    </w:pPr>
                    <w:r>
                      <w:t>2,857.14</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d567219cf614829af1a2928b1fa259b"/>
                <w:id w:val="25155140"/>
                <w:lock w:val="sdtLocked"/>
              </w:sdtPr>
              <w:sdtContent>
                <w:tc>
                  <w:tcPr>
                    <w:tcW w:w="2980" w:type="dxa"/>
                    <w:vAlign w:val="center"/>
                  </w:tcPr>
                  <w:p>
                    <w:pPr>
                      <w:pStyle w:val="76"/>
                      <w:ind w:right="105"/>
                      <w:jc w:val="center"/>
                      <w:rPr>
                        <w:szCs w:val="21"/>
                      </w:rPr>
                    </w:pPr>
                    <w:r>
                      <w:rPr>
                        <w:rFonts w:hint="eastAsia"/>
                        <w:szCs w:val="21"/>
                      </w:rPr>
                      <w:t>合计</w:t>
                    </w:r>
                  </w:p>
                </w:tc>
              </w:sdtContent>
            </w:sdt>
            <w:tc>
              <w:tcPr>
                <w:tcW w:w="2955" w:type="dxa"/>
              </w:tcPr>
              <w:p>
                <w:pPr>
                  <w:pStyle w:val="76"/>
                  <w:ind w:right="73"/>
                  <w:jc w:val="right"/>
                  <w:rPr>
                    <w:szCs w:val="21"/>
                  </w:rPr>
                </w:pPr>
                <w:r>
                  <w:rPr>
                    <w:szCs w:val="21"/>
                  </w:rPr>
                  <w:t>457,269,209.68</w:t>
                </w:r>
              </w:p>
            </w:tc>
            <w:tc>
              <w:tcPr>
                <w:tcW w:w="2960" w:type="dxa"/>
              </w:tcPr>
              <w:p>
                <w:pPr>
                  <w:pStyle w:val="76"/>
                  <w:jc w:val="right"/>
                  <w:rPr>
                    <w:szCs w:val="21"/>
                  </w:rPr>
                </w:pPr>
                <w:r>
                  <w:t>510,324,260.62</w:t>
                </w:r>
              </w:p>
            </w:tc>
          </w:tr>
        </w:tbl>
        <w:p>
          <w:pPr>
            <w:pStyle w:val="76"/>
          </w:pPr>
        </w:p>
        <w:p>
          <w:pPr>
            <w:pStyle w:val="76"/>
            <w:rPr>
              <w:szCs w:val="21"/>
            </w:rPr>
          </w:pPr>
        </w:p>
      </w:sdtContent>
    </w:sdt>
    <w:p>
      <w:pPr>
        <w:pStyle w:val="76"/>
        <w:rPr>
          <w:szCs w:val="21"/>
        </w:rPr>
      </w:pPr>
    </w:p>
    <w:sdt>
      <w:sdtPr>
        <w:rPr>
          <w:rFonts w:ascii="宋体" w:hAnsi="宋体" w:cs="宋体"/>
          <w:b w:val="0"/>
          <w:bCs w:val="0"/>
          <w:kern w:val="0"/>
          <w:szCs w:val="22"/>
        </w:rPr>
        <w:alias w:val="模块:应付利息"/>
        <w:tag w:val="_GBC_da4ff9d4ac784b77873e975cd7cd47d4"/>
        <w:id w:val="25155156"/>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应付利息</w:t>
          </w:r>
        </w:p>
        <w:sdt>
          <w:sdtPr>
            <w:alias w:val="是否适用：应付利息[双击切换]"/>
            <w:tag w:val="_GBC_3abb3572126241deac53da8ccedb26d2"/>
            <w:id w:val="2515514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应付利息"/>
              <w:tag w:val="_GBC_73f3f537b0bb44659d4535555fc5277c"/>
              <w:id w:val="25155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5fe6437d345840068b28b93ad93ae5a4"/>
              <w:id w:val="251551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55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2c491f310b4fb99c851570ca37f006"/>
                <w:id w:val="25155146"/>
                <w:lock w:val="sdtLocked"/>
              </w:sdtPr>
              <w:sdtContent>
                <w:tc>
                  <w:tcPr>
                    <w:tcW w:w="3936" w:type="dxa"/>
                    <w:tcBorders>
                      <w:top w:val="single" w:color="auto" w:sz="4" w:space="0"/>
                      <w:left w:val="single" w:color="auto" w:sz="4" w:space="0"/>
                      <w:bottom w:val="single" w:color="auto" w:sz="4" w:space="0"/>
                      <w:right w:val="single" w:color="auto" w:sz="4" w:space="0"/>
                    </w:tcBorders>
                    <w:vAlign w:val="bottom"/>
                  </w:tcPr>
                  <w:p>
                    <w:pPr>
                      <w:pStyle w:val="76"/>
                      <w:adjustRightInd w:val="0"/>
                      <w:snapToGrid w:val="0"/>
                      <w:ind w:left="-2" w:leftChars="-2" w:right="19" w:rightChars="9" w:hanging="2" w:hangingChars="1"/>
                      <w:jc w:val="center"/>
                      <w:rPr>
                        <w:szCs w:val="21"/>
                      </w:rPr>
                    </w:pPr>
                    <w:r>
                      <w:rPr>
                        <w:rFonts w:hint="eastAsia"/>
                        <w:szCs w:val="21"/>
                      </w:rPr>
                      <w:t>项目</w:t>
                    </w:r>
                  </w:p>
                </w:tc>
              </w:sdtContent>
            </w:sdt>
            <w:sdt>
              <w:sdtPr>
                <w:tag w:val="_PLD_993d21a51be6429bafc89803f5e6a06c"/>
                <w:id w:val="25155147"/>
                <w:lock w:val="sdtLocked"/>
              </w:sdtPr>
              <w:sdtContent>
                <w:tc>
                  <w:tcPr>
                    <w:tcW w:w="2550" w:type="dxa"/>
                    <w:tcBorders>
                      <w:top w:val="single" w:color="auto" w:sz="4" w:space="0"/>
                      <w:left w:val="single" w:color="auto" w:sz="4" w:space="0"/>
                      <w:bottom w:val="single" w:color="auto" w:sz="4" w:space="0"/>
                      <w:right w:val="single" w:color="auto" w:sz="4" w:space="0"/>
                    </w:tcBorders>
                    <w:vAlign w:val="bottom"/>
                  </w:tcPr>
                  <w:p>
                    <w:pPr>
                      <w:pStyle w:val="76"/>
                      <w:adjustRightInd w:val="0"/>
                      <w:snapToGrid w:val="0"/>
                      <w:ind w:left="-2" w:leftChars="-2" w:right="19" w:rightChars="9" w:hanging="2" w:hangingChars="1"/>
                      <w:jc w:val="center"/>
                      <w:rPr>
                        <w:szCs w:val="21"/>
                      </w:rPr>
                    </w:pPr>
                    <w:r>
                      <w:rPr>
                        <w:rFonts w:hint="eastAsia"/>
                        <w:szCs w:val="21"/>
                      </w:rPr>
                      <w:t>期末余额</w:t>
                    </w:r>
                  </w:p>
                </w:tc>
              </w:sdtContent>
            </w:sdt>
            <w:sdt>
              <w:sdtPr>
                <w:tag w:val="_PLD_b9c525dfa58b49aea06e95efdd0b216c"/>
                <w:id w:val="25155148"/>
                <w:lock w:val="sdtLocked"/>
              </w:sdtPr>
              <w:sdtContent>
                <w:tc>
                  <w:tcPr>
                    <w:tcW w:w="2563" w:type="dxa"/>
                    <w:tcBorders>
                      <w:top w:val="single" w:color="auto" w:sz="4" w:space="0"/>
                      <w:left w:val="single" w:color="auto" w:sz="4" w:space="0"/>
                      <w:bottom w:val="single" w:color="auto" w:sz="4" w:space="0"/>
                      <w:right w:val="single" w:color="auto" w:sz="4" w:space="0"/>
                    </w:tcBorders>
                    <w:vAlign w:val="bottom"/>
                  </w:tcPr>
                  <w:p>
                    <w:pPr>
                      <w:pStyle w:val="76"/>
                      <w:adjustRightInd w:val="0"/>
                      <w:snapToGrid w:val="0"/>
                      <w:ind w:left="-2" w:leftChars="-2" w:right="19" w:rightChars="9" w:hanging="2" w:hangingChars="1"/>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7576a323395436996c9db95830fc581"/>
                <w:id w:val="25155149"/>
                <w:lock w:val="sdtLocked"/>
              </w:sdtPr>
              <w:sdtContent>
                <w:tc>
                  <w:tcPr>
                    <w:tcW w:w="3936" w:type="dxa"/>
                    <w:tcBorders>
                      <w:top w:val="single" w:color="auto" w:sz="4" w:space="0"/>
                      <w:left w:val="single" w:color="auto" w:sz="4" w:space="0"/>
                      <w:bottom w:val="single" w:color="auto" w:sz="4" w:space="0"/>
                      <w:right w:val="single" w:color="auto" w:sz="4" w:space="0"/>
                    </w:tcBorders>
                  </w:tcPr>
                  <w:p>
                    <w:pPr>
                      <w:pStyle w:val="76"/>
                      <w:adjustRightInd w:val="0"/>
                      <w:snapToGrid w:val="0"/>
                      <w:ind w:left="-2" w:leftChars="-2" w:right="19" w:rightChars="9" w:hanging="2" w:hangingChars="1"/>
                      <w:rPr>
                        <w:szCs w:val="21"/>
                      </w:rPr>
                    </w:pPr>
                    <w:r>
                      <w:rPr>
                        <w:rFonts w:hint="eastAsia"/>
                        <w:szCs w:val="21"/>
                      </w:rPr>
                      <w:t>分期付息到期还本的长期借款利息</w:t>
                    </w:r>
                  </w:p>
                </w:tc>
              </w:sdtContent>
            </w:sdt>
            <w:tc>
              <w:tcPr>
                <w:tcW w:w="2550" w:type="dxa"/>
                <w:tcBorders>
                  <w:top w:val="single" w:color="auto" w:sz="4" w:space="0"/>
                  <w:left w:val="single" w:color="auto" w:sz="4" w:space="0"/>
                  <w:bottom w:val="single" w:color="auto" w:sz="4" w:space="0"/>
                  <w:right w:val="single" w:color="auto" w:sz="4" w:space="0"/>
                </w:tcBorders>
              </w:tcPr>
              <w:p>
                <w:pPr>
                  <w:pStyle w:val="76"/>
                  <w:ind w:right="73"/>
                  <w:jc w:val="right"/>
                  <w:rPr>
                    <w:szCs w:val="21"/>
                  </w:rPr>
                </w:pPr>
              </w:p>
            </w:tc>
            <w:tc>
              <w:tcPr>
                <w:tcW w:w="2563" w:type="dxa"/>
                <w:tcBorders>
                  <w:top w:val="single" w:color="auto" w:sz="4" w:space="0"/>
                  <w:left w:val="single" w:color="auto" w:sz="4" w:space="0"/>
                  <w:bottom w:val="single" w:color="auto" w:sz="4" w:space="0"/>
                  <w:right w:val="single" w:color="auto" w:sz="4"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e8d580c44242b4b79a800b6f3fd1de"/>
                <w:id w:val="25155150"/>
                <w:lock w:val="sdtLocked"/>
              </w:sdtPr>
              <w:sdtContent>
                <w:tc>
                  <w:tcPr>
                    <w:tcW w:w="3936" w:type="dxa"/>
                    <w:tcBorders>
                      <w:top w:val="single" w:color="auto" w:sz="4" w:space="0"/>
                      <w:left w:val="single" w:color="auto" w:sz="4" w:space="0"/>
                      <w:bottom w:val="single" w:color="auto" w:sz="4" w:space="0"/>
                      <w:right w:val="single" w:color="auto" w:sz="4" w:space="0"/>
                    </w:tcBorders>
                  </w:tcPr>
                  <w:p>
                    <w:pPr>
                      <w:pStyle w:val="76"/>
                      <w:adjustRightInd w:val="0"/>
                      <w:snapToGrid w:val="0"/>
                      <w:ind w:left="-2" w:leftChars="-2" w:right="19" w:rightChars="9" w:hanging="2" w:hangingChars="1"/>
                      <w:rPr>
                        <w:szCs w:val="21"/>
                      </w:rPr>
                    </w:pPr>
                    <w:r>
                      <w:rPr>
                        <w:rFonts w:hint="eastAsia"/>
                        <w:szCs w:val="21"/>
                      </w:rPr>
                      <w:t>企业债券利息</w:t>
                    </w:r>
                  </w:p>
                </w:tc>
              </w:sdtContent>
            </w:sdt>
            <w:tc>
              <w:tcPr>
                <w:tcW w:w="2550" w:type="dxa"/>
                <w:tcBorders>
                  <w:top w:val="single" w:color="auto" w:sz="4" w:space="0"/>
                  <w:left w:val="single" w:color="auto" w:sz="4" w:space="0"/>
                  <w:bottom w:val="single" w:color="auto" w:sz="4" w:space="0"/>
                  <w:right w:val="single" w:color="auto" w:sz="4" w:space="0"/>
                </w:tcBorders>
              </w:tcPr>
              <w:p>
                <w:pPr>
                  <w:pStyle w:val="76"/>
                  <w:ind w:right="73"/>
                  <w:jc w:val="right"/>
                  <w:rPr>
                    <w:szCs w:val="21"/>
                  </w:rPr>
                </w:pPr>
                <w:r>
                  <w:rPr>
                    <w:szCs w:val="21"/>
                  </w:rPr>
                  <w:t>2,021,324.5</w:t>
                </w:r>
                <w:r>
                  <w:rPr>
                    <w:rFonts w:hint="eastAsia"/>
                    <w:szCs w:val="21"/>
                  </w:rPr>
                  <w:t>0</w:t>
                </w:r>
              </w:p>
            </w:tc>
            <w:tc>
              <w:tcPr>
                <w:tcW w:w="2563" w:type="dxa"/>
                <w:tcBorders>
                  <w:top w:val="single" w:color="auto" w:sz="4" w:space="0"/>
                  <w:left w:val="single" w:color="auto" w:sz="4" w:space="0"/>
                  <w:bottom w:val="single" w:color="auto" w:sz="4" w:space="0"/>
                  <w:right w:val="single" w:color="auto" w:sz="4" w:space="0"/>
                </w:tcBorders>
              </w:tcPr>
              <w:p>
                <w:pPr>
                  <w:pStyle w:val="76"/>
                  <w:jc w:val="right"/>
                  <w:rPr>
                    <w:szCs w:val="21"/>
                  </w:rPr>
                </w:pPr>
                <w:r>
                  <w:t>14,149,271.50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9aec78adff45b5ae16b16330c69fb1"/>
                <w:id w:val="25155151"/>
                <w:lock w:val="sdtLocked"/>
              </w:sdtPr>
              <w:sdtContent>
                <w:tc>
                  <w:tcPr>
                    <w:tcW w:w="3936" w:type="dxa"/>
                    <w:tcBorders>
                      <w:top w:val="single" w:color="auto" w:sz="4" w:space="0"/>
                      <w:left w:val="single" w:color="auto" w:sz="4" w:space="0"/>
                      <w:bottom w:val="single" w:color="auto" w:sz="4" w:space="0"/>
                      <w:right w:val="single" w:color="auto" w:sz="4" w:space="0"/>
                    </w:tcBorders>
                  </w:tcPr>
                  <w:p>
                    <w:pPr>
                      <w:pStyle w:val="76"/>
                      <w:adjustRightInd w:val="0"/>
                      <w:snapToGrid w:val="0"/>
                      <w:ind w:left="-2" w:leftChars="-2" w:right="19" w:rightChars="9" w:hanging="2" w:hangingChars="1"/>
                      <w:rPr>
                        <w:szCs w:val="21"/>
                      </w:rPr>
                    </w:pPr>
                    <w:r>
                      <w:rPr>
                        <w:rFonts w:hint="eastAsia"/>
                        <w:szCs w:val="21"/>
                      </w:rPr>
                      <w:t>短期借款应付利息</w:t>
                    </w:r>
                  </w:p>
                </w:tc>
              </w:sdtContent>
            </w:sdt>
            <w:tc>
              <w:tcPr>
                <w:tcW w:w="2550" w:type="dxa"/>
                <w:tcBorders>
                  <w:top w:val="single" w:color="auto" w:sz="4" w:space="0"/>
                  <w:left w:val="single" w:color="auto" w:sz="4" w:space="0"/>
                  <w:bottom w:val="single" w:color="auto" w:sz="4" w:space="0"/>
                  <w:right w:val="single" w:color="auto" w:sz="4" w:space="0"/>
                </w:tcBorders>
              </w:tcPr>
              <w:p>
                <w:pPr>
                  <w:pStyle w:val="76"/>
                  <w:ind w:right="73"/>
                  <w:jc w:val="right"/>
                  <w:rPr>
                    <w:szCs w:val="21"/>
                  </w:rPr>
                </w:pPr>
                <w:r>
                  <w:rPr>
                    <w:szCs w:val="21"/>
                  </w:rPr>
                  <w:t>21,179,143.04</w:t>
                </w:r>
              </w:p>
            </w:tc>
            <w:tc>
              <w:tcPr>
                <w:tcW w:w="2563" w:type="dxa"/>
                <w:tcBorders>
                  <w:top w:val="single" w:color="auto" w:sz="4" w:space="0"/>
                  <w:left w:val="single" w:color="auto" w:sz="4" w:space="0"/>
                  <w:bottom w:val="single" w:color="auto" w:sz="4" w:space="0"/>
                  <w:right w:val="single" w:color="auto" w:sz="4" w:space="0"/>
                </w:tcBorders>
              </w:tcPr>
              <w:p>
                <w:pPr>
                  <w:pStyle w:val="76"/>
                  <w:jc w:val="right"/>
                  <w:rPr>
                    <w:szCs w:val="21"/>
                  </w:rPr>
                </w:pPr>
                <w:r>
                  <w:t>12,805,533.30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88ea8a4f944cb1a9c6d79c04d6c03f"/>
                <w:id w:val="25155152"/>
                <w:lock w:val="sdtLocked"/>
              </w:sdtPr>
              <w:sdtContent>
                <w:tc>
                  <w:tcPr>
                    <w:tcW w:w="3936" w:type="dxa"/>
                    <w:tcBorders>
                      <w:top w:val="single" w:color="auto" w:sz="4" w:space="0"/>
                      <w:left w:val="single" w:color="auto" w:sz="4" w:space="0"/>
                      <w:bottom w:val="single" w:color="auto" w:sz="4" w:space="0"/>
                      <w:right w:val="single" w:color="auto" w:sz="4" w:space="0"/>
                    </w:tcBorders>
                  </w:tcPr>
                  <w:p>
                    <w:pPr>
                      <w:pStyle w:val="76"/>
                      <w:adjustRightInd w:val="0"/>
                      <w:snapToGrid w:val="0"/>
                      <w:ind w:left="-2" w:leftChars="-2" w:right="19" w:rightChars="9" w:hanging="2" w:hangingChars="1"/>
                      <w:rPr>
                        <w:szCs w:val="21"/>
                      </w:rPr>
                    </w:pPr>
                    <w:r>
                      <w:rPr>
                        <w:rFonts w:hint="eastAsia"/>
                        <w:szCs w:val="21"/>
                      </w:rPr>
                      <w:t>划分为金融负债的优先股\永续债利息</w:t>
                    </w:r>
                  </w:p>
                </w:tc>
              </w:sdtContent>
            </w:sdt>
            <w:tc>
              <w:tcPr>
                <w:tcW w:w="2550" w:type="dxa"/>
                <w:tcBorders>
                  <w:top w:val="single" w:color="auto" w:sz="4" w:space="0"/>
                  <w:left w:val="single" w:color="auto" w:sz="4" w:space="0"/>
                  <w:bottom w:val="single" w:color="auto" w:sz="4" w:space="0"/>
                  <w:right w:val="single" w:color="auto" w:sz="4" w:space="0"/>
                </w:tcBorders>
              </w:tcPr>
              <w:p>
                <w:pPr>
                  <w:pStyle w:val="76"/>
                  <w:ind w:right="73"/>
                  <w:jc w:val="right"/>
                  <w:rPr>
                    <w:szCs w:val="21"/>
                  </w:rPr>
                </w:pPr>
              </w:p>
            </w:tc>
            <w:tc>
              <w:tcPr>
                <w:tcW w:w="2563" w:type="dxa"/>
                <w:tcBorders>
                  <w:top w:val="single" w:color="auto" w:sz="4" w:space="0"/>
                  <w:left w:val="single" w:color="auto" w:sz="4" w:space="0"/>
                  <w:bottom w:val="single" w:color="auto" w:sz="4" w:space="0"/>
                  <w:right w:val="single" w:color="auto" w:sz="4" w:space="0"/>
                </w:tcBorders>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78bf5bd4a7b40ac8973b57369f0afab"/>
                <w:id w:val="25155153"/>
                <w:lock w:val="sdtLocked"/>
              </w:sdtPr>
              <w:sdtContent>
                <w:tc>
                  <w:tcPr>
                    <w:tcW w:w="3936" w:type="dxa"/>
                    <w:tcBorders>
                      <w:top w:val="single" w:color="auto" w:sz="4" w:space="0"/>
                      <w:left w:val="single" w:color="auto" w:sz="4" w:space="0"/>
                      <w:bottom w:val="single" w:color="auto" w:sz="4" w:space="0"/>
                      <w:right w:val="single" w:color="auto" w:sz="4" w:space="0"/>
                    </w:tcBorders>
                  </w:tcPr>
                  <w:p>
                    <w:pPr>
                      <w:pStyle w:val="76"/>
                      <w:jc w:val="center"/>
                      <w:rPr>
                        <w:color w:val="FF0000"/>
                        <w:szCs w:val="21"/>
                      </w:rPr>
                    </w:pPr>
                    <w:r>
                      <w:rPr>
                        <w:rFonts w:hint="eastAsia"/>
                        <w:szCs w:val="21"/>
                      </w:rPr>
                      <w:t>合计</w:t>
                    </w:r>
                  </w:p>
                </w:tc>
              </w:sdtContent>
            </w:sdt>
            <w:tc>
              <w:tcPr>
                <w:tcW w:w="2550" w:type="dxa"/>
                <w:tcBorders>
                  <w:top w:val="single" w:color="auto" w:sz="4" w:space="0"/>
                  <w:left w:val="single" w:color="auto" w:sz="4" w:space="0"/>
                  <w:bottom w:val="single" w:color="auto" w:sz="4" w:space="0"/>
                  <w:right w:val="single" w:color="auto" w:sz="4" w:space="0"/>
                </w:tcBorders>
              </w:tcPr>
              <w:p>
                <w:pPr>
                  <w:pStyle w:val="76"/>
                  <w:jc w:val="right"/>
                  <w:rPr>
                    <w:szCs w:val="21"/>
                  </w:rPr>
                </w:pPr>
                <w:r>
                  <w:rPr>
                    <w:szCs w:val="21"/>
                  </w:rPr>
                  <w:t>23,200,467.54</w:t>
                </w:r>
              </w:p>
            </w:tc>
            <w:tc>
              <w:tcPr>
                <w:tcW w:w="2563" w:type="dxa"/>
                <w:tcBorders>
                  <w:top w:val="single" w:color="auto" w:sz="4" w:space="0"/>
                  <w:left w:val="single" w:color="auto" w:sz="4" w:space="0"/>
                  <w:bottom w:val="single" w:color="auto" w:sz="4" w:space="0"/>
                  <w:right w:val="single" w:color="auto" w:sz="4" w:space="0"/>
                </w:tcBorders>
              </w:tcPr>
              <w:p>
                <w:pPr>
                  <w:pStyle w:val="76"/>
                  <w:jc w:val="right"/>
                  <w:rPr>
                    <w:szCs w:val="21"/>
                  </w:rPr>
                </w:pPr>
                <w:r>
                  <w:t>26,954,804.80</w:t>
                </w:r>
              </w:p>
            </w:tc>
          </w:tr>
        </w:tbl>
        <w:p>
          <w:pPr>
            <w:pStyle w:val="76"/>
          </w:pPr>
        </w:p>
        <w:p>
          <w:pPr>
            <w:pStyle w:val="76"/>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2515515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pacing w:before="60" w:after="60"/>
            <w:rPr>
              <w:szCs w:val="21"/>
            </w:rPr>
          </w:pPr>
          <w:r>
            <w:rPr>
              <w:rFonts w:hint="eastAsia"/>
              <w:szCs w:val="21"/>
            </w:rPr>
            <w:t>其他说明：</w:t>
          </w:r>
        </w:p>
        <w:sdt>
          <w:sdtPr>
            <w:rPr>
              <w:szCs w:val="21"/>
            </w:rPr>
            <w:alias w:val="是否适用：应付利息说明[双击切换]"/>
            <w:tag w:val="_GBC_de57ecea870945af8d235048c56803cd"/>
            <w:id w:val="25155155"/>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ascii="宋体" w:hAnsi="宋体" w:cs="宋体"/>
          <w:b w:val="0"/>
          <w:bCs w:val="0"/>
          <w:kern w:val="0"/>
          <w:szCs w:val="21"/>
        </w:rPr>
        <w:alias w:val="模块:应付股利"/>
        <w:tag w:val="_GBC_d4fd791dab3942c3a5e9d60bb5280141"/>
        <w:id w:val="25155158"/>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应付股利</w:t>
          </w:r>
        </w:p>
        <w:sdt>
          <w:sdtPr>
            <w:alias w:val="是否适用：应付股利[双击切换]"/>
            <w:tag w:val="_GBC_f4a78fedf50b4dcd99a087f79207fd89"/>
            <w:id w:val="2515515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rPr>
              <w:szCs w:val="21"/>
            </w:rPr>
          </w:pPr>
        </w:p>
      </w:sdtContent>
    </w:sdt>
    <w:p>
      <w:pPr>
        <w:pStyle w:val="76"/>
        <w:rPr>
          <w:szCs w:val="21"/>
        </w:rPr>
      </w:pPr>
    </w:p>
    <w:sdt>
      <w:sdtPr>
        <w:rPr>
          <w:rFonts w:hint="eastAsia" w:ascii="宋体" w:hAnsi="宋体" w:cs="宋体"/>
          <w:b w:val="0"/>
          <w:bCs w:val="0"/>
          <w:kern w:val="0"/>
          <w:szCs w:val="21"/>
        </w:rPr>
        <w:alias w:val="模块:其他应付款"/>
        <w:tag w:val="_GBC_ad6e4257b49b407a9fbffc30a1e95eb5"/>
        <w:id w:val="25155182"/>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其他应付款</w:t>
          </w:r>
        </w:p>
        <w:p>
          <w:pPr>
            <w:pStyle w:val="80"/>
            <w:numPr>
              <w:ilvl w:val="3"/>
              <w:numId w:val="67"/>
            </w:numPr>
            <w:tabs>
              <w:tab w:val="left" w:pos="644"/>
              <w:tab w:val="left" w:pos="709"/>
            </w:tabs>
            <w:rPr>
              <w:rFonts w:ascii="宋体" w:hAnsi="宋体"/>
              <w:szCs w:val="21"/>
            </w:rPr>
          </w:pPr>
          <w:r>
            <w:rPr>
              <w:rFonts w:hint="eastAsia" w:ascii="宋体" w:hAnsi="宋体"/>
              <w:szCs w:val="21"/>
            </w:rPr>
            <w:t>按款项性质列示其他应付款</w:t>
          </w:r>
        </w:p>
        <w:sdt>
          <w:sdtPr>
            <w:alias w:val="是否适用：按款项性质列示其他应付款[双击切换]"/>
            <w:tag w:val="_GBC_32c858d4a33f4670b512d4b8c3471a37"/>
            <w:id w:val="2515515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其他应付款情况"/>
              <w:tag w:val="_GBC_0b147017235c43199ff0628236008466"/>
              <w:id w:val="25155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251551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2999"/>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af12fdbd954e32a91aee2867fdc20d"/>
                <w:id w:val="25155162"/>
                <w:lock w:val="sdtLocked"/>
              </w:sdtPr>
              <w:sdtContent>
                <w:tc>
                  <w:tcPr>
                    <w:tcW w:w="2923" w:type="dxa"/>
                    <w:shd w:val="clear" w:color="auto" w:fill="auto"/>
                  </w:tcPr>
                  <w:p>
                    <w:pPr>
                      <w:pStyle w:val="76"/>
                      <w:jc w:val="center"/>
                      <w:rPr>
                        <w:szCs w:val="21"/>
                      </w:rPr>
                    </w:pPr>
                    <w:r>
                      <w:rPr>
                        <w:rFonts w:hint="eastAsia"/>
                        <w:szCs w:val="21"/>
                      </w:rPr>
                      <w:t>项目</w:t>
                    </w:r>
                  </w:p>
                </w:tc>
              </w:sdtContent>
            </w:sdt>
            <w:sdt>
              <w:sdtPr>
                <w:tag w:val="_PLD_6a30cb15e1034a78a71ba97e720e13dd"/>
                <w:id w:val="25155163"/>
                <w:lock w:val="sdtLocked"/>
              </w:sdtPr>
              <w:sdtContent>
                <w:tc>
                  <w:tcPr>
                    <w:tcW w:w="2999" w:type="dxa"/>
                    <w:shd w:val="clear" w:color="auto" w:fill="auto"/>
                  </w:tcPr>
                  <w:p>
                    <w:pPr>
                      <w:pStyle w:val="76"/>
                      <w:jc w:val="center"/>
                      <w:rPr>
                        <w:szCs w:val="21"/>
                      </w:rPr>
                    </w:pPr>
                    <w:r>
                      <w:rPr>
                        <w:rFonts w:hint="eastAsia"/>
                        <w:szCs w:val="21"/>
                      </w:rPr>
                      <w:t>期末余额</w:t>
                    </w:r>
                  </w:p>
                </w:tc>
              </w:sdtContent>
            </w:sdt>
            <w:sdt>
              <w:sdtPr>
                <w:tag w:val="_PLD_1bbb9615a7024759af2679595303595b"/>
                <w:id w:val="25155164"/>
                <w:lock w:val="sdtLocked"/>
              </w:sdtPr>
              <w:sdtContent>
                <w:tc>
                  <w:tcPr>
                    <w:tcW w:w="3127" w:type="dxa"/>
                    <w:shd w:val="clear" w:color="auto" w:fill="auto"/>
                  </w:tcPr>
                  <w:p>
                    <w:pPr>
                      <w:pStyle w:val="76"/>
                      <w:jc w:val="center"/>
                      <w:rPr>
                        <w:szCs w:val="21"/>
                      </w:rPr>
                    </w:pPr>
                    <w:r>
                      <w:rPr>
                        <w:rFonts w:hint="eastAsia"/>
                        <w:szCs w:val="21"/>
                      </w:rPr>
                      <w:t>期初余额</w:t>
                    </w:r>
                  </w:p>
                </w:tc>
              </w:sdtContent>
            </w:sdt>
          </w:tr>
          <w:sdt>
            <w:sdtPr>
              <w:rPr>
                <w:rFonts w:hint="eastAsia"/>
                <w:szCs w:val="21"/>
              </w:rPr>
              <w:alias w:val="其他应付款情况明细"/>
              <w:tag w:val="_GBC_7f5dd84b3a9443a6a91ba6f6873b75be"/>
              <w:id w:val="25155165"/>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76"/>
                      <w:rPr>
                        <w:szCs w:val="21"/>
                      </w:rPr>
                    </w:pPr>
                    <w:r>
                      <w:t>暂收保证金、押金等</w:t>
                    </w:r>
                  </w:p>
                </w:tc>
                <w:tc>
                  <w:tcPr>
                    <w:tcW w:w="2999" w:type="dxa"/>
                    <w:shd w:val="clear" w:color="auto" w:fill="auto"/>
                  </w:tcPr>
                  <w:p>
                    <w:pPr>
                      <w:pStyle w:val="76"/>
                      <w:jc w:val="right"/>
                      <w:rPr>
                        <w:szCs w:val="21"/>
                      </w:rPr>
                    </w:pPr>
                    <w:r>
                      <w:t>147,520,323.36</w:t>
                    </w:r>
                  </w:p>
                </w:tc>
                <w:tc>
                  <w:tcPr>
                    <w:tcW w:w="3127" w:type="dxa"/>
                    <w:shd w:val="clear" w:color="auto" w:fill="auto"/>
                  </w:tcPr>
                  <w:p>
                    <w:pPr>
                      <w:pStyle w:val="76"/>
                      <w:jc w:val="right"/>
                      <w:rPr>
                        <w:szCs w:val="21"/>
                      </w:rPr>
                    </w:pPr>
                    <w:r>
                      <w:t>132,910,472.96</w:t>
                    </w:r>
                  </w:p>
                </w:tc>
              </w:tr>
            </w:sdtContent>
          </w:sdt>
          <w:sdt>
            <w:sdtPr>
              <w:rPr>
                <w:rFonts w:hint="eastAsia"/>
                <w:szCs w:val="21"/>
              </w:rPr>
              <w:alias w:val="其他应付款情况明细"/>
              <w:tag w:val="_GBC_7f5dd84b3a9443a6a91ba6f6873b75be"/>
              <w:id w:val="25155166"/>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76"/>
                      <w:rPr>
                        <w:szCs w:val="21"/>
                      </w:rPr>
                    </w:pPr>
                    <w:r>
                      <w:t>其他</w:t>
                    </w:r>
                  </w:p>
                </w:tc>
                <w:tc>
                  <w:tcPr>
                    <w:tcW w:w="2999" w:type="dxa"/>
                    <w:shd w:val="clear" w:color="auto" w:fill="auto"/>
                  </w:tcPr>
                  <w:p>
                    <w:pPr>
                      <w:pStyle w:val="76"/>
                      <w:jc w:val="right"/>
                      <w:rPr>
                        <w:szCs w:val="21"/>
                      </w:rPr>
                    </w:pPr>
                    <w:r>
                      <w:t>37,329,395.87</w:t>
                    </w:r>
                  </w:p>
                </w:tc>
                <w:tc>
                  <w:tcPr>
                    <w:tcW w:w="3127" w:type="dxa"/>
                    <w:shd w:val="clear" w:color="auto" w:fill="auto"/>
                  </w:tcPr>
                  <w:p>
                    <w:pPr>
                      <w:pStyle w:val="76"/>
                      <w:jc w:val="right"/>
                      <w:rPr>
                        <w:szCs w:val="21"/>
                      </w:rPr>
                    </w:pPr>
                    <w:r>
                      <w:t>48,614,043.54</w:t>
                    </w:r>
                  </w:p>
                </w:tc>
              </w:tr>
            </w:sdtContent>
          </w:sdt>
          <w:sdt>
            <w:sdtPr>
              <w:rPr>
                <w:rFonts w:hint="eastAsia"/>
                <w:szCs w:val="21"/>
              </w:rPr>
              <w:alias w:val="其他应付款情况明细"/>
              <w:tag w:val="_GBC_7f5dd84b3a9443a6a91ba6f6873b75be"/>
              <w:id w:val="25155167"/>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76"/>
                      <w:rPr>
                        <w:szCs w:val="21"/>
                      </w:rPr>
                    </w:pPr>
                    <w:r>
                      <w:t>与关联方往来款</w:t>
                    </w:r>
                  </w:p>
                </w:tc>
                <w:tc>
                  <w:tcPr>
                    <w:tcW w:w="2999" w:type="dxa"/>
                    <w:shd w:val="clear" w:color="auto" w:fill="auto"/>
                  </w:tcPr>
                  <w:p>
                    <w:pPr>
                      <w:pStyle w:val="76"/>
                      <w:jc w:val="right"/>
                      <w:rPr>
                        <w:szCs w:val="21"/>
                      </w:rPr>
                    </w:pPr>
                    <w:r>
                      <w:t>17,201,746.62</w:t>
                    </w:r>
                  </w:p>
                </w:tc>
                <w:tc>
                  <w:tcPr>
                    <w:tcW w:w="3127" w:type="dxa"/>
                    <w:shd w:val="clear" w:color="auto" w:fill="auto"/>
                  </w:tcPr>
                  <w:p>
                    <w:pPr>
                      <w:pStyle w:val="76"/>
                      <w:jc w:val="right"/>
                      <w:rPr>
                        <w:szCs w:val="21"/>
                      </w:rPr>
                    </w:pPr>
                    <w:r>
                      <w:t>15,361,818.72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71c54492d0444abe7bda431cc06c80"/>
                <w:id w:val="25155168"/>
                <w:lock w:val="sdtLocked"/>
              </w:sdtPr>
              <w:sdtContent>
                <w:tc>
                  <w:tcPr>
                    <w:tcW w:w="2923" w:type="dxa"/>
                    <w:shd w:val="clear" w:color="auto" w:fill="auto"/>
                  </w:tcPr>
                  <w:p>
                    <w:pPr>
                      <w:pStyle w:val="76"/>
                      <w:jc w:val="center"/>
                      <w:rPr>
                        <w:color w:val="000000" w:themeColor="text1"/>
                        <w:szCs w:val="21"/>
                      </w:rPr>
                    </w:pPr>
                    <w:r>
                      <w:rPr>
                        <w:rFonts w:hint="eastAsia"/>
                        <w:color w:val="000000" w:themeColor="text1"/>
                        <w:szCs w:val="21"/>
                      </w:rPr>
                      <w:t>合计</w:t>
                    </w:r>
                  </w:p>
                </w:tc>
              </w:sdtContent>
            </w:sdt>
            <w:tc>
              <w:tcPr>
                <w:tcW w:w="2999" w:type="dxa"/>
                <w:shd w:val="clear" w:color="auto" w:fill="auto"/>
              </w:tcPr>
              <w:p>
                <w:pPr>
                  <w:pStyle w:val="76"/>
                  <w:jc w:val="right"/>
                  <w:rPr>
                    <w:szCs w:val="21"/>
                  </w:rPr>
                </w:pPr>
                <w:r>
                  <w:t>202,051,465.85</w:t>
                </w:r>
              </w:p>
            </w:tc>
            <w:tc>
              <w:tcPr>
                <w:tcW w:w="3127" w:type="dxa"/>
                <w:shd w:val="clear" w:color="auto" w:fill="auto"/>
              </w:tcPr>
              <w:p>
                <w:pPr>
                  <w:pStyle w:val="76"/>
                  <w:jc w:val="right"/>
                  <w:rPr>
                    <w:szCs w:val="21"/>
                  </w:rPr>
                </w:pPr>
                <w:r>
                  <w:t>196,886,335.22</w:t>
                </w:r>
              </w:p>
            </w:tc>
          </w:tr>
        </w:tbl>
        <w:p>
          <w:pPr>
            <w:pStyle w:val="76"/>
          </w:pPr>
        </w:p>
        <w:p>
          <w:pPr>
            <w:pStyle w:val="80"/>
            <w:numPr>
              <w:ilvl w:val="3"/>
              <w:numId w:val="67"/>
            </w:numPr>
            <w:tabs>
              <w:tab w:val="left" w:pos="644"/>
              <w:tab w:val="left" w:pos="709"/>
            </w:tabs>
          </w:pPr>
          <w:r>
            <w:rPr>
              <w:rFonts w:hint="eastAsia"/>
            </w:rPr>
            <w:t>账龄超过</w:t>
          </w:r>
          <w:r>
            <w:t>1年的重要其他应付款</w:t>
          </w:r>
        </w:p>
        <w:sdt>
          <w:sdtPr>
            <w:alias w:val="是否适用：账龄超过1年的重要其他应付款[双击切换]"/>
            <w:tag w:val="_GBC_6b842cccfed2455fb63f3cf43e46e28f"/>
            <w:id w:val="2515516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账龄超过1年的重要其他应付款"/>
              <w:tag w:val="_GBC_ae4dd9e0a5cc49aa84608e4d595c2fa0"/>
              <w:id w:val="251551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02aa23657afb4155b8f67ef835bcf55d"/>
              <w:id w:val="25155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3028"/>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sdt>
              <w:sdtPr>
                <w:tag w:val="_PLD_9d1ff04ee5d74001a15723a5315d4453"/>
                <w:id w:val="25155172"/>
                <w:lock w:val="sdtLocked"/>
              </w:sdtPr>
              <w:sdtContent>
                <w:tc>
                  <w:tcPr>
                    <w:tcW w:w="2908" w:type="dxa"/>
                    <w:shd w:val="clear" w:color="auto" w:fill="auto"/>
                    <w:vAlign w:val="center"/>
                  </w:tcPr>
                  <w:p>
                    <w:pPr>
                      <w:pStyle w:val="76"/>
                      <w:jc w:val="center"/>
                      <w:rPr>
                        <w:szCs w:val="21"/>
                      </w:rPr>
                    </w:pPr>
                    <w:bookmarkStart w:id="55" w:name="_Toc215903165"/>
                    <w:r>
                      <w:rPr>
                        <w:rFonts w:hint="eastAsia"/>
                        <w:szCs w:val="21"/>
                      </w:rPr>
                      <w:t>项目</w:t>
                    </w:r>
                  </w:p>
                </w:tc>
              </w:sdtContent>
            </w:sdt>
            <w:sdt>
              <w:sdtPr>
                <w:tag w:val="_PLD_e18ca74faced4a9c9378ac5db8b2365e"/>
                <w:id w:val="25155173"/>
                <w:lock w:val="sdtLocked"/>
              </w:sdtPr>
              <w:sdtContent>
                <w:tc>
                  <w:tcPr>
                    <w:tcW w:w="3028" w:type="dxa"/>
                    <w:shd w:val="clear" w:color="auto" w:fill="auto"/>
                    <w:vAlign w:val="center"/>
                  </w:tcPr>
                  <w:p>
                    <w:pPr>
                      <w:pStyle w:val="76"/>
                      <w:jc w:val="center"/>
                      <w:rPr>
                        <w:szCs w:val="21"/>
                      </w:rPr>
                    </w:pPr>
                    <w:r>
                      <w:rPr>
                        <w:rFonts w:hint="eastAsia"/>
                        <w:szCs w:val="21"/>
                      </w:rPr>
                      <w:t>期末余额</w:t>
                    </w:r>
                  </w:p>
                </w:tc>
              </w:sdtContent>
            </w:sdt>
            <w:sdt>
              <w:sdtPr>
                <w:tag w:val="_PLD_e5b1c82aa66042afa8f96dd02a50daa9"/>
                <w:id w:val="25155174"/>
                <w:lock w:val="sdtLocked"/>
              </w:sdtPr>
              <w:sdtContent>
                <w:tc>
                  <w:tcPr>
                    <w:tcW w:w="3113" w:type="dxa"/>
                    <w:shd w:val="clear" w:color="auto" w:fill="auto"/>
                    <w:vAlign w:val="center"/>
                  </w:tcPr>
                  <w:p>
                    <w:pPr>
                      <w:pStyle w:val="76"/>
                      <w:jc w:val="center"/>
                      <w:rPr>
                        <w:szCs w:val="21"/>
                      </w:rPr>
                    </w:pPr>
                    <w:r>
                      <w:rPr>
                        <w:rFonts w:hint="eastAsia"/>
                        <w:szCs w:val="21"/>
                      </w:rPr>
                      <w:t>未偿还或结转的原因</w:t>
                    </w:r>
                  </w:p>
                </w:tc>
              </w:sdtContent>
            </w:sdt>
          </w:tr>
          <w:sdt>
            <w:sdtPr>
              <w:rPr>
                <w:szCs w:val="21"/>
              </w:rPr>
              <w:alias w:val="重要的账龄超过1年的其他应付款明细"/>
              <w:tag w:val="_GBC_b7cec93c711d40f48326998d7472e3e8"/>
              <w:id w:val="2515517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8" w:type="dxa"/>
                    <w:tcBorders>
                      <w:bottom w:val="single" w:color="auto" w:sz="4" w:space="0"/>
                    </w:tcBorders>
                    <w:shd w:val="clear" w:color="auto" w:fill="auto"/>
                  </w:tcPr>
                  <w:p>
                    <w:pPr>
                      <w:pStyle w:val="76"/>
                      <w:rPr>
                        <w:szCs w:val="21"/>
                      </w:rPr>
                    </w:pPr>
                    <w:r>
                      <w:rPr>
                        <w:rFonts w:hint="eastAsia"/>
                      </w:rPr>
                      <w:t>单位一</w:t>
                    </w:r>
                  </w:p>
                </w:tc>
                <w:tc>
                  <w:tcPr>
                    <w:tcW w:w="3028" w:type="dxa"/>
                    <w:shd w:val="clear" w:color="auto" w:fill="auto"/>
                  </w:tcPr>
                  <w:p>
                    <w:pPr>
                      <w:pStyle w:val="76"/>
                      <w:jc w:val="right"/>
                      <w:rPr>
                        <w:szCs w:val="21"/>
                      </w:rPr>
                    </w:pPr>
                    <w:r>
                      <w:t>1,000,000.00</w:t>
                    </w:r>
                  </w:p>
                </w:tc>
                <w:tc>
                  <w:tcPr>
                    <w:tcW w:w="3113" w:type="dxa"/>
                    <w:shd w:val="clear" w:color="auto" w:fill="auto"/>
                  </w:tcPr>
                  <w:p>
                    <w:pPr>
                      <w:pStyle w:val="76"/>
                      <w:rPr>
                        <w:szCs w:val="21"/>
                      </w:rPr>
                    </w:pPr>
                    <w:r>
                      <w:t>未到合同期</w:t>
                    </w:r>
                  </w:p>
                </w:tc>
              </w:tr>
            </w:sdtContent>
          </w:sdt>
          <w:sdt>
            <w:sdtPr>
              <w:rPr>
                <w:szCs w:val="21"/>
              </w:rPr>
              <w:alias w:val="重要的账龄超过1年的其他应付款明细"/>
              <w:tag w:val="_GBC_b7cec93c711d40f48326998d7472e3e8"/>
              <w:id w:val="25155176"/>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8" w:type="dxa"/>
                    <w:tcBorders>
                      <w:bottom w:val="single" w:color="auto" w:sz="4" w:space="0"/>
                    </w:tcBorders>
                    <w:shd w:val="clear" w:color="auto" w:fill="auto"/>
                  </w:tcPr>
                  <w:p>
                    <w:pPr>
                      <w:pStyle w:val="76"/>
                      <w:rPr>
                        <w:szCs w:val="21"/>
                      </w:rPr>
                    </w:pPr>
                    <w:r>
                      <w:rPr>
                        <w:rFonts w:hint="eastAsia"/>
                      </w:rPr>
                      <w:t>单位二</w:t>
                    </w:r>
                  </w:p>
                </w:tc>
                <w:tc>
                  <w:tcPr>
                    <w:tcW w:w="3028" w:type="dxa"/>
                    <w:shd w:val="clear" w:color="auto" w:fill="auto"/>
                  </w:tcPr>
                  <w:p>
                    <w:pPr>
                      <w:pStyle w:val="76"/>
                      <w:jc w:val="right"/>
                      <w:rPr>
                        <w:szCs w:val="21"/>
                      </w:rPr>
                    </w:pPr>
                    <w:r>
                      <w:t>1,000,000.00</w:t>
                    </w:r>
                  </w:p>
                </w:tc>
                <w:tc>
                  <w:tcPr>
                    <w:tcW w:w="3113" w:type="dxa"/>
                    <w:shd w:val="clear" w:color="auto" w:fill="auto"/>
                  </w:tcPr>
                  <w:p>
                    <w:pPr>
                      <w:pStyle w:val="76"/>
                      <w:rPr>
                        <w:szCs w:val="21"/>
                      </w:rPr>
                    </w:pPr>
                    <w:r>
                      <w:t>未到合同期</w:t>
                    </w:r>
                  </w:p>
                </w:tc>
              </w:tr>
            </w:sdtContent>
          </w:sdt>
          <w:sdt>
            <w:sdtPr>
              <w:rPr>
                <w:szCs w:val="21"/>
              </w:rPr>
              <w:alias w:val="重要的账龄超过1年的其他应付款明细"/>
              <w:tag w:val="_GBC_b7cec93c711d40f48326998d7472e3e8"/>
              <w:id w:val="2515517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8" w:type="dxa"/>
                    <w:tcBorders>
                      <w:bottom w:val="single" w:color="auto" w:sz="4" w:space="0"/>
                    </w:tcBorders>
                    <w:shd w:val="clear" w:color="auto" w:fill="auto"/>
                  </w:tcPr>
                  <w:p>
                    <w:pPr>
                      <w:pStyle w:val="76"/>
                      <w:rPr>
                        <w:szCs w:val="21"/>
                      </w:rPr>
                    </w:pPr>
                    <w:r>
                      <w:rPr>
                        <w:rFonts w:hint="eastAsia"/>
                      </w:rPr>
                      <w:t>单位三</w:t>
                    </w:r>
                  </w:p>
                </w:tc>
                <w:tc>
                  <w:tcPr>
                    <w:tcW w:w="3028" w:type="dxa"/>
                    <w:shd w:val="clear" w:color="auto" w:fill="auto"/>
                  </w:tcPr>
                  <w:p>
                    <w:pPr>
                      <w:pStyle w:val="76"/>
                      <w:jc w:val="right"/>
                      <w:rPr>
                        <w:szCs w:val="21"/>
                      </w:rPr>
                    </w:pPr>
                    <w:r>
                      <w:t>1,000,000.00</w:t>
                    </w:r>
                  </w:p>
                </w:tc>
                <w:tc>
                  <w:tcPr>
                    <w:tcW w:w="3113" w:type="dxa"/>
                    <w:shd w:val="clear" w:color="auto" w:fill="auto"/>
                  </w:tcPr>
                  <w:p>
                    <w:pPr>
                      <w:pStyle w:val="76"/>
                      <w:rPr>
                        <w:szCs w:val="21"/>
                      </w:rPr>
                    </w:pPr>
                    <w:r>
                      <w:t>未到合同期</w:t>
                    </w:r>
                  </w:p>
                </w:tc>
              </w:tr>
            </w:sdtContent>
          </w:sdt>
          <w:sdt>
            <w:sdtPr>
              <w:rPr>
                <w:szCs w:val="21"/>
              </w:rPr>
              <w:alias w:val="重要的账龄超过1年的其他应付款明细"/>
              <w:tag w:val="_GBC_b7cec93c711d40f48326998d7472e3e8"/>
              <w:id w:val="25155178"/>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8" w:type="dxa"/>
                    <w:tcBorders>
                      <w:bottom w:val="single" w:color="auto" w:sz="4" w:space="0"/>
                    </w:tcBorders>
                    <w:shd w:val="clear" w:color="auto" w:fill="auto"/>
                  </w:tcPr>
                  <w:p>
                    <w:pPr>
                      <w:pStyle w:val="76"/>
                      <w:rPr>
                        <w:szCs w:val="21"/>
                      </w:rPr>
                    </w:pPr>
                    <w:r>
                      <w:t>代垫运费</w:t>
                    </w:r>
                  </w:p>
                </w:tc>
                <w:tc>
                  <w:tcPr>
                    <w:tcW w:w="3028" w:type="dxa"/>
                    <w:shd w:val="clear" w:color="auto" w:fill="auto"/>
                  </w:tcPr>
                  <w:p>
                    <w:pPr>
                      <w:pStyle w:val="76"/>
                      <w:jc w:val="right"/>
                      <w:rPr>
                        <w:szCs w:val="21"/>
                      </w:rPr>
                    </w:pPr>
                    <w:r>
                      <w:t>637,953.60</w:t>
                    </w:r>
                  </w:p>
                </w:tc>
                <w:tc>
                  <w:tcPr>
                    <w:tcW w:w="3113" w:type="dxa"/>
                    <w:shd w:val="clear" w:color="auto" w:fill="auto"/>
                  </w:tcPr>
                  <w:p>
                    <w:pPr>
                      <w:pStyle w:val="76"/>
                      <w:rPr>
                        <w:szCs w:val="21"/>
                      </w:rPr>
                    </w:pPr>
                    <w:r>
                      <w:t>未到合同期</w:t>
                    </w:r>
                  </w:p>
                </w:tc>
              </w:tr>
            </w:sdtContent>
          </w:sdt>
          <w:sdt>
            <w:sdtPr>
              <w:rPr>
                <w:szCs w:val="21"/>
              </w:rPr>
              <w:alias w:val="重要的账龄超过1年的其他应付款明细"/>
              <w:tag w:val="_GBC_b7cec93c711d40f48326998d7472e3e8"/>
              <w:id w:val="2515517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8" w:type="dxa"/>
                    <w:tcBorders>
                      <w:bottom w:val="single" w:color="auto" w:sz="4" w:space="0"/>
                    </w:tcBorders>
                    <w:shd w:val="clear" w:color="auto" w:fill="auto"/>
                  </w:tcPr>
                  <w:p>
                    <w:pPr>
                      <w:pStyle w:val="76"/>
                      <w:rPr>
                        <w:szCs w:val="21"/>
                      </w:rPr>
                    </w:pPr>
                    <w:r>
                      <w:rPr>
                        <w:rFonts w:hint="eastAsia"/>
                      </w:rPr>
                      <w:t>单位四</w:t>
                    </w:r>
                  </w:p>
                </w:tc>
                <w:tc>
                  <w:tcPr>
                    <w:tcW w:w="3028" w:type="dxa"/>
                    <w:shd w:val="clear" w:color="auto" w:fill="auto"/>
                  </w:tcPr>
                  <w:p>
                    <w:pPr>
                      <w:pStyle w:val="76"/>
                      <w:jc w:val="right"/>
                      <w:rPr>
                        <w:szCs w:val="21"/>
                      </w:rPr>
                    </w:pPr>
                    <w:r>
                      <w:t>555,562.17</w:t>
                    </w:r>
                  </w:p>
                </w:tc>
                <w:tc>
                  <w:tcPr>
                    <w:tcW w:w="3113" w:type="dxa"/>
                    <w:shd w:val="clear" w:color="auto" w:fill="auto"/>
                  </w:tcPr>
                  <w:p>
                    <w:pPr>
                      <w:pStyle w:val="76"/>
                      <w:rPr>
                        <w:szCs w:val="21"/>
                      </w:rPr>
                    </w:pPr>
                    <w:r>
                      <w:t>未到合同期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71400eb834c4cac8095b7dea9127d8f"/>
                <w:id w:val="25155180"/>
                <w:lock w:val="sdtLocked"/>
              </w:sdtPr>
              <w:sdtContent>
                <w:tc>
                  <w:tcPr>
                    <w:tcW w:w="2908" w:type="dxa"/>
                    <w:shd w:val="clear" w:color="auto" w:fill="auto"/>
                    <w:vAlign w:val="center"/>
                  </w:tcPr>
                  <w:p>
                    <w:pPr>
                      <w:pStyle w:val="76"/>
                      <w:jc w:val="center"/>
                      <w:rPr>
                        <w:szCs w:val="21"/>
                      </w:rPr>
                    </w:pPr>
                    <w:r>
                      <w:rPr>
                        <w:rFonts w:hint="eastAsia"/>
                        <w:szCs w:val="21"/>
                      </w:rPr>
                      <w:t>合计</w:t>
                    </w:r>
                  </w:p>
                </w:tc>
              </w:sdtContent>
            </w:sdt>
            <w:tc>
              <w:tcPr>
                <w:tcW w:w="3028" w:type="dxa"/>
                <w:shd w:val="clear" w:color="auto" w:fill="auto"/>
              </w:tcPr>
              <w:p>
                <w:pPr>
                  <w:pStyle w:val="76"/>
                  <w:jc w:val="right"/>
                  <w:rPr>
                    <w:szCs w:val="21"/>
                  </w:rPr>
                </w:pPr>
                <w:r>
                  <w:t>4,193,515.77</w:t>
                </w:r>
              </w:p>
            </w:tc>
            <w:tc>
              <w:tcPr>
                <w:tcW w:w="3113" w:type="dxa"/>
                <w:shd w:val="clear" w:color="auto" w:fill="auto"/>
              </w:tcPr>
              <w:p>
                <w:pPr>
                  <w:pStyle w:val="76"/>
                  <w:jc w:val="center"/>
                  <w:rPr>
                    <w:szCs w:val="21"/>
                  </w:rPr>
                </w:pPr>
                <w:r>
                  <w:rPr>
                    <w:rFonts w:hint="eastAsia"/>
                    <w:szCs w:val="21"/>
                  </w:rPr>
                  <w:t>/</w:t>
                </w:r>
              </w:p>
            </w:tc>
          </w:tr>
        </w:tbl>
        <w:p>
          <w:pPr>
            <w:pStyle w:val="76"/>
          </w:pPr>
        </w:p>
        <w:p>
          <w:pPr>
            <w:pStyle w:val="76"/>
          </w:pPr>
          <w:r>
            <w:rPr>
              <w:rFonts w:hint="eastAsia"/>
            </w:rPr>
            <w:t>其他说明</w:t>
          </w:r>
          <w:bookmarkEnd w:id="55"/>
        </w:p>
        <w:sdt>
          <w:sdtPr>
            <w:alias w:val="是否适用：其他应付款的其他说明[双击切换]"/>
            <w:tag w:val="_GBC_1663010b98e94ccbbc45a083e2464f25"/>
            <w:id w:val="25155181"/>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1"/>
        </w:rPr>
        <w:alias w:val="模块:划分为持有待售的负债"/>
        <w:tag w:val="_GBC_b863defdccbc448695ee82953f3da273"/>
        <w:id w:val="2515518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szCs w:val="21"/>
            </w:rPr>
          </w:pPr>
          <w:r>
            <w:rPr>
              <w:rFonts w:hint="eastAsia" w:ascii="宋体" w:hAnsi="宋体"/>
              <w:szCs w:val="21"/>
            </w:rPr>
            <w:t>持有</w:t>
          </w:r>
          <w:r>
            <w:rPr>
              <w:rFonts w:hint="eastAsia"/>
              <w:szCs w:val="21"/>
            </w:rPr>
            <w:t>待售负债</w:t>
          </w:r>
        </w:p>
        <w:sdt>
          <w:sdtPr>
            <w:alias w:val="是否适用：划分为持有待售的负债[双击切换]"/>
            <w:tag w:val="_GBC_039b9e06b132407a89f578be468d6ec8"/>
            <w:id w:val="2515518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1"/>
        </w:rPr>
        <w:alias w:val="模块:1年内到期的非流动负债"/>
        <w:tag w:val="_GBC_d5b7f9c02d494f85b85a36713895b9f8"/>
        <w:id w:val="25155196"/>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1年内到期的非流动负债</w:t>
          </w:r>
        </w:p>
        <w:sdt>
          <w:sdtPr>
            <w:alias w:val="是否适用：1年内到期的非流动负债[双击切换]"/>
            <w:tag w:val="_GBC_9b606bc3f0cf4f77be9b0f299d212c73"/>
            <w:id w:val="2515518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1年内到期的非流动负债情况"/>
              <w:tag w:val="_GBC_7bad01766fa0485ea9c16109704ff32e"/>
              <w:id w:val="251551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251551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303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2815b84ebe4a1e94909ee96ec31ac1"/>
                <w:id w:val="25155188"/>
                <w:lock w:val="sdtLocked"/>
              </w:sdtPr>
              <w:sdtContent>
                <w:tc>
                  <w:tcPr>
                    <w:tcW w:w="2908" w:type="dxa"/>
                    <w:shd w:val="clear" w:color="auto" w:fill="auto"/>
                  </w:tcPr>
                  <w:p>
                    <w:pPr>
                      <w:pStyle w:val="76"/>
                      <w:jc w:val="center"/>
                      <w:rPr>
                        <w:szCs w:val="21"/>
                      </w:rPr>
                    </w:pPr>
                    <w:r>
                      <w:rPr>
                        <w:rFonts w:hint="eastAsia"/>
                        <w:szCs w:val="21"/>
                      </w:rPr>
                      <w:t>项目</w:t>
                    </w:r>
                  </w:p>
                </w:tc>
              </w:sdtContent>
            </w:sdt>
            <w:sdt>
              <w:sdtPr>
                <w:tag w:val="_PLD_db7abcf611bc4296ad7bd9c8177202e0"/>
                <w:id w:val="25155189"/>
                <w:lock w:val="sdtLocked"/>
              </w:sdtPr>
              <w:sdtContent>
                <w:tc>
                  <w:tcPr>
                    <w:tcW w:w="3037" w:type="dxa"/>
                    <w:shd w:val="clear" w:color="auto" w:fill="auto"/>
                  </w:tcPr>
                  <w:p>
                    <w:pPr>
                      <w:pStyle w:val="76"/>
                      <w:jc w:val="center"/>
                      <w:rPr>
                        <w:szCs w:val="21"/>
                      </w:rPr>
                    </w:pPr>
                    <w:r>
                      <w:rPr>
                        <w:rFonts w:hint="eastAsia"/>
                        <w:szCs w:val="21"/>
                      </w:rPr>
                      <w:t>期末余额</w:t>
                    </w:r>
                  </w:p>
                </w:tc>
              </w:sdtContent>
            </w:sdt>
            <w:sdt>
              <w:sdtPr>
                <w:tag w:val="_PLD_371959274ef4493ca1fe426c930e0bf2"/>
                <w:id w:val="25155190"/>
                <w:lock w:val="sdtLocked"/>
              </w:sdtPr>
              <w:sdtContent>
                <w:tc>
                  <w:tcPr>
                    <w:tcW w:w="3104" w:type="dxa"/>
                    <w:shd w:val="clear" w:color="auto" w:fill="auto"/>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604ff944003432285ae67c4dffb978f"/>
                <w:id w:val="25155191"/>
                <w:lock w:val="sdtLocked"/>
              </w:sdtPr>
              <w:sdtContent>
                <w:tc>
                  <w:tcPr>
                    <w:tcW w:w="2908" w:type="dxa"/>
                    <w:shd w:val="clear" w:color="auto" w:fill="auto"/>
                  </w:tcPr>
                  <w:p>
                    <w:pPr>
                      <w:pStyle w:val="76"/>
                      <w:rPr>
                        <w:szCs w:val="21"/>
                      </w:rPr>
                    </w:pPr>
                    <w:r>
                      <w:rPr>
                        <w:rFonts w:hint="eastAsia"/>
                        <w:szCs w:val="21"/>
                      </w:rPr>
                      <w:t>1年内到期的长期借款</w:t>
                    </w:r>
                  </w:p>
                </w:tc>
              </w:sdtContent>
            </w:sdt>
            <w:tc>
              <w:tcPr>
                <w:tcW w:w="3037" w:type="dxa"/>
                <w:shd w:val="clear" w:color="auto" w:fill="auto"/>
              </w:tcPr>
              <w:p>
                <w:pPr>
                  <w:pStyle w:val="76"/>
                  <w:jc w:val="right"/>
                  <w:rPr>
                    <w:szCs w:val="21"/>
                  </w:rPr>
                </w:pPr>
                <w:r>
                  <w:rPr>
                    <w:rFonts w:hint="eastAsia"/>
                  </w:rPr>
                  <w:t>291,130,400.00</w:t>
                </w:r>
              </w:p>
            </w:tc>
            <w:tc>
              <w:tcPr>
                <w:tcW w:w="3104" w:type="dxa"/>
                <w:shd w:val="clear" w:color="auto" w:fill="auto"/>
              </w:tcPr>
              <w:p>
                <w:pPr>
                  <w:pStyle w:val="76"/>
                  <w:jc w:val="right"/>
                  <w:rPr>
                    <w:szCs w:val="21"/>
                  </w:rPr>
                </w:pPr>
                <w:r>
                  <w:t>1,091,004,800.00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3302dbab574c0490258d7885fc5bb5"/>
                <w:id w:val="25155192"/>
                <w:lock w:val="sdtLocked"/>
              </w:sdtPr>
              <w:sdtContent>
                <w:tc>
                  <w:tcPr>
                    <w:tcW w:w="2908" w:type="dxa"/>
                    <w:shd w:val="clear" w:color="auto" w:fill="auto"/>
                  </w:tcPr>
                  <w:p>
                    <w:pPr>
                      <w:pStyle w:val="76"/>
                      <w:rPr>
                        <w:szCs w:val="21"/>
                      </w:rPr>
                    </w:pPr>
                    <w:r>
                      <w:rPr>
                        <w:rFonts w:hint="eastAsia"/>
                        <w:szCs w:val="21"/>
                      </w:rPr>
                      <w:t>1年内到期的应付债券</w:t>
                    </w:r>
                  </w:p>
                </w:tc>
              </w:sdtContent>
            </w:sdt>
            <w:tc>
              <w:tcPr>
                <w:tcW w:w="3037" w:type="dxa"/>
                <w:shd w:val="clear" w:color="auto" w:fill="auto"/>
              </w:tcPr>
              <w:p>
                <w:pPr>
                  <w:pStyle w:val="76"/>
                  <w:jc w:val="right"/>
                  <w:rPr>
                    <w:szCs w:val="21"/>
                  </w:rPr>
                </w:pPr>
                <w:r>
                  <w:rPr>
                    <w:szCs w:val="21"/>
                  </w:rPr>
                  <w:t>424,577,708.06</w:t>
                </w:r>
              </w:p>
            </w:tc>
            <w:tc>
              <w:tcPr>
                <w:tcW w:w="3104"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ec0c08bdec4a7cab5a5163221b0aa3"/>
                <w:id w:val="25155193"/>
                <w:lock w:val="sdtLocked"/>
              </w:sdtPr>
              <w:sdtContent>
                <w:tc>
                  <w:tcPr>
                    <w:tcW w:w="2908" w:type="dxa"/>
                    <w:shd w:val="clear" w:color="auto" w:fill="auto"/>
                  </w:tcPr>
                  <w:p>
                    <w:pPr>
                      <w:pStyle w:val="76"/>
                      <w:rPr>
                        <w:szCs w:val="21"/>
                      </w:rPr>
                    </w:pPr>
                    <w:r>
                      <w:rPr>
                        <w:rFonts w:hint="eastAsia"/>
                        <w:szCs w:val="21"/>
                      </w:rPr>
                      <w:t>1年内到期的长期应付款</w:t>
                    </w:r>
                  </w:p>
                </w:tc>
              </w:sdtContent>
            </w:sdt>
            <w:tc>
              <w:tcPr>
                <w:tcW w:w="3037" w:type="dxa"/>
                <w:shd w:val="clear" w:color="auto" w:fill="auto"/>
              </w:tcPr>
              <w:p>
                <w:pPr>
                  <w:pStyle w:val="76"/>
                  <w:jc w:val="right"/>
                  <w:rPr>
                    <w:szCs w:val="21"/>
                  </w:rPr>
                </w:pPr>
              </w:p>
            </w:tc>
            <w:tc>
              <w:tcPr>
                <w:tcW w:w="3104"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9405fec461a4b079f93c72be0490bbf"/>
                <w:id w:val="25155194"/>
                <w:lock w:val="sdtLocked"/>
              </w:sdtPr>
              <w:sdtContent>
                <w:tc>
                  <w:tcPr>
                    <w:tcW w:w="2908" w:type="dxa"/>
                    <w:shd w:val="clear" w:color="auto" w:fill="auto"/>
                  </w:tcPr>
                  <w:p>
                    <w:pPr>
                      <w:pStyle w:val="76"/>
                      <w:jc w:val="center"/>
                      <w:rPr>
                        <w:szCs w:val="21"/>
                      </w:rPr>
                    </w:pPr>
                    <w:r>
                      <w:rPr>
                        <w:rFonts w:hint="eastAsia"/>
                        <w:szCs w:val="21"/>
                      </w:rPr>
                      <w:t>合计</w:t>
                    </w:r>
                  </w:p>
                </w:tc>
              </w:sdtContent>
            </w:sdt>
            <w:tc>
              <w:tcPr>
                <w:tcW w:w="3037" w:type="dxa"/>
                <w:shd w:val="clear" w:color="auto" w:fill="auto"/>
              </w:tcPr>
              <w:p>
                <w:pPr>
                  <w:pStyle w:val="76"/>
                  <w:jc w:val="right"/>
                  <w:rPr>
                    <w:szCs w:val="21"/>
                  </w:rPr>
                </w:pPr>
                <w:r>
                  <w:t>715,708,108.06</w:t>
                </w:r>
              </w:p>
            </w:tc>
            <w:tc>
              <w:tcPr>
                <w:tcW w:w="3104" w:type="dxa"/>
                <w:shd w:val="clear" w:color="auto" w:fill="auto"/>
              </w:tcPr>
              <w:p>
                <w:pPr>
                  <w:pStyle w:val="76"/>
                  <w:jc w:val="right"/>
                  <w:rPr>
                    <w:szCs w:val="21"/>
                  </w:rPr>
                </w:pPr>
                <w:r>
                  <w:t>1,091,004,800.00</w:t>
                </w:r>
              </w:p>
            </w:tc>
          </w:tr>
        </w:tbl>
        <w:p>
          <w:pPr>
            <w:pStyle w:val="76"/>
          </w:pPr>
        </w:p>
        <w:p>
          <w:pPr>
            <w:pStyle w:val="76"/>
            <w:rPr>
              <w:szCs w:val="21"/>
            </w:rPr>
          </w:pPr>
        </w:p>
      </w:sdtContent>
    </w:sdt>
    <w:p>
      <w:pPr>
        <w:pStyle w:val="79"/>
        <w:numPr>
          <w:ilvl w:val="0"/>
          <w:numId w:val="46"/>
        </w:numPr>
        <w:tabs>
          <w:tab w:val="left" w:pos="504"/>
        </w:tabs>
        <w:rPr>
          <w:rFonts w:ascii="宋体" w:hAnsi="宋体"/>
          <w:szCs w:val="21"/>
        </w:rPr>
      </w:pPr>
      <w:r>
        <w:rPr>
          <w:rFonts w:hint="eastAsia" w:ascii="宋体" w:hAnsi="宋体"/>
          <w:szCs w:val="21"/>
        </w:rPr>
        <w:t>其他流动负债</w:t>
      </w:r>
    </w:p>
    <w:sdt>
      <w:sdtPr>
        <w:rPr>
          <w:rFonts w:hint="eastAsia"/>
          <w:szCs w:val="21"/>
        </w:rPr>
        <w:alias w:val="模块:其他流动负债"/>
        <w:tag w:val="_GBC_3b2cd011df474497ab686d55877d4bd5"/>
        <w:id w:val="25155198"/>
        <w:lock w:val="sdtLocked"/>
        <w:placeholder>
          <w:docPart w:val="GBC22222222222222222222222222222"/>
        </w:placeholder>
      </w:sdtPr>
      <w:sdtEndPr>
        <w:rPr>
          <w:rFonts w:hint="default"/>
          <w:color w:val="000000" w:themeColor="text1"/>
          <w:szCs w:val="21"/>
        </w:rPr>
      </w:sdtEndPr>
      <w:sdtContent>
        <w:p>
          <w:pPr>
            <w:pStyle w:val="76"/>
            <w:rPr>
              <w:szCs w:val="21"/>
            </w:rPr>
          </w:pPr>
          <w:r>
            <w:rPr>
              <w:rFonts w:hint="eastAsia"/>
              <w:szCs w:val="21"/>
            </w:rPr>
            <w:t>其他流动负债情况</w:t>
          </w:r>
        </w:p>
        <w:p>
          <w:pPr>
            <w:pStyle w:val="76"/>
            <w:rPr>
              <w:szCs w:val="21"/>
            </w:rPr>
          </w:pPr>
          <w:sdt>
            <w:sdtPr>
              <w:rPr>
                <w:rFonts w:hint="eastAsia"/>
                <w:szCs w:val="21"/>
              </w:rPr>
              <w:alias w:val="是否适用：其他流动负债情况 [双击切换]"/>
              <w:tag w:val="_GBC_80907e3e53c44260b850f42646eb3d63"/>
              <w:id w:val="25155197"/>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Theme="minorHAnsi" w:hAnsiTheme="minorHAnsi" w:eastAsiaTheme="minorEastAsia"/>
          <w:bCs/>
          <w:szCs w:val="22"/>
        </w:rPr>
        <w:alias w:val="模块:短期应付债券的增减变动"/>
        <w:tag w:val="_GBC_4577b030bbab4faa991328e6acd5a589"/>
        <w:id w:val="25155200"/>
        <w:lock w:val="sdtLocked"/>
        <w:placeholder>
          <w:docPart w:val="GBC22222222222222222222222222222"/>
        </w:placeholder>
      </w:sdtPr>
      <w:sdtEndPr>
        <w:rPr>
          <w:rFonts w:hint="default" w:ascii="宋体" w:hAnsi="宋体" w:eastAsia="宋体" w:cstheme="minorBidi"/>
          <w:bCs w:val="0"/>
          <w:color w:val="000000" w:themeColor="text1"/>
          <w:kern w:val="2"/>
          <w:szCs w:val="21"/>
        </w:rPr>
      </w:sdtEndPr>
      <w:sdtContent>
        <w:p>
          <w:pPr>
            <w:pStyle w:val="76"/>
          </w:pPr>
          <w:r>
            <w:rPr>
              <w:rFonts w:hint="eastAsia"/>
            </w:rPr>
            <w:t>短期</w:t>
          </w:r>
          <w:r>
            <w:t>应付债券的增减变动</w:t>
          </w:r>
          <w:r>
            <w:rPr>
              <w:rFonts w:hint="eastAsia"/>
            </w:rPr>
            <w:t>：</w:t>
          </w:r>
        </w:p>
        <w:sdt>
          <w:sdtPr>
            <w:alias w:val="是否适用：短期应付债券的增减变动[双击切换]"/>
            <w:tag w:val="_GBC_82d0c6ce58744d20918b6a0221dbac6b"/>
            <w:id w:val="25155199"/>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25155202"/>
        <w:lock w:val="sdtLocked"/>
        <w:placeholder>
          <w:docPart w:val="GBC22222222222222222222222222222"/>
        </w:placeholder>
      </w:sdtPr>
      <w:sdtEndPr>
        <w:rPr>
          <w:rFonts w:hint="default"/>
          <w:color w:val="000000" w:themeColor="text1"/>
          <w:szCs w:val="21"/>
        </w:rPr>
      </w:sdtEndPr>
      <w:sdtContent>
        <w:p>
          <w:pPr>
            <w:pStyle w:val="76"/>
            <w:spacing w:before="60" w:after="60"/>
            <w:rPr>
              <w:szCs w:val="21"/>
            </w:rPr>
          </w:pPr>
          <w:r>
            <w:rPr>
              <w:rFonts w:hint="eastAsia"/>
              <w:szCs w:val="21"/>
            </w:rPr>
            <w:t>其他说明：</w:t>
          </w:r>
        </w:p>
        <w:sdt>
          <w:sdtPr>
            <w:rPr>
              <w:szCs w:val="21"/>
            </w:rPr>
            <w:alias w:val="是否适用：其他流动负债说明[双击切换]"/>
            <w:tag w:val="_GBC_6ebc9e220fb04ea584ed56f756d92d59"/>
            <w:id w:val="25155201"/>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长期借款</w:t>
      </w:r>
    </w:p>
    <w:sdt>
      <w:sdtPr>
        <w:rPr>
          <w:rFonts w:hint="eastAsia" w:ascii="宋体" w:hAnsi="宋体" w:cs="宋体"/>
          <w:b w:val="0"/>
          <w:bCs w:val="0"/>
          <w:kern w:val="0"/>
          <w:szCs w:val="22"/>
        </w:rPr>
        <w:alias w:val="模块:长期借款分类 "/>
        <w:tag w:val="_GBC_8b6acb9acc4745f09cf8ff1a98787eb9"/>
        <w:id w:val="25155215"/>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80"/>
            <w:numPr>
              <w:ilvl w:val="0"/>
              <w:numId w:val="68"/>
            </w:numPr>
            <w:tabs>
              <w:tab w:val="left" w:pos="630"/>
            </w:tabs>
            <w:ind w:left="420"/>
            <w:rPr>
              <w:rFonts w:ascii="宋体" w:hAnsi="宋体"/>
              <w:szCs w:val="21"/>
            </w:rPr>
          </w:pPr>
          <w:r>
            <w:rPr>
              <w:rFonts w:hint="eastAsia" w:ascii="宋体" w:hAnsi="宋体"/>
              <w:szCs w:val="21"/>
            </w:rPr>
            <w:t>长期借款分类</w:t>
          </w:r>
        </w:p>
        <w:sdt>
          <w:sdtPr>
            <w:alias w:val="是否适用：长期借款分类[双击切换]"/>
            <w:tag w:val="_GBC_6ef43a5268e7491db189883a31952469"/>
            <w:id w:val="2515520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长期借款分类"/>
              <w:tag w:val="_GBC_146f044f7fd14a45bf9247f0af389a14"/>
              <w:id w:val="251552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251552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98"/>
            <w:gridCol w:w="2999"/>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3ee60507a6384334b819485e73faa1f4"/>
                <w:id w:val="25155206"/>
                <w:lock w:val="sdtLocked"/>
              </w:sdtPr>
              <w:sdtContent>
                <w:tc>
                  <w:tcPr>
                    <w:tcW w:w="2998" w:type="dxa"/>
                  </w:tcPr>
                  <w:p>
                    <w:pPr>
                      <w:pStyle w:val="76"/>
                      <w:autoSpaceDE w:val="0"/>
                      <w:autoSpaceDN w:val="0"/>
                      <w:adjustRightInd w:val="0"/>
                      <w:snapToGrid w:val="0"/>
                      <w:jc w:val="center"/>
                      <w:rPr>
                        <w:szCs w:val="21"/>
                      </w:rPr>
                    </w:pPr>
                    <w:r>
                      <w:rPr>
                        <w:rFonts w:hint="eastAsia"/>
                        <w:szCs w:val="21"/>
                      </w:rPr>
                      <w:t>项目</w:t>
                    </w:r>
                  </w:p>
                </w:tc>
              </w:sdtContent>
            </w:sdt>
            <w:sdt>
              <w:sdtPr>
                <w:tag w:val="_PLD_d2a4fabfb296457384b1523a60233642"/>
                <w:id w:val="25155207"/>
                <w:lock w:val="sdtLocked"/>
              </w:sdtPr>
              <w:sdtContent>
                <w:tc>
                  <w:tcPr>
                    <w:tcW w:w="2999" w:type="dxa"/>
                  </w:tcPr>
                  <w:p>
                    <w:pPr>
                      <w:pStyle w:val="76"/>
                      <w:jc w:val="center"/>
                      <w:rPr>
                        <w:szCs w:val="21"/>
                      </w:rPr>
                    </w:pPr>
                    <w:r>
                      <w:rPr>
                        <w:rFonts w:hint="eastAsia"/>
                        <w:szCs w:val="21"/>
                      </w:rPr>
                      <w:t>期末余额</w:t>
                    </w:r>
                  </w:p>
                </w:tc>
              </w:sdtContent>
            </w:sdt>
            <w:sdt>
              <w:sdtPr>
                <w:tag w:val="_PLD_aab598d4b37f4953a2ee9b7475cb43e6"/>
                <w:id w:val="25155208"/>
                <w:lock w:val="sdtLocked"/>
              </w:sdtPr>
              <w:sdtContent>
                <w:tc>
                  <w:tcPr>
                    <w:tcW w:w="2896" w:type="dxa"/>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e89d9c6de3ff4da98f7949a63d0f927d"/>
                <w:id w:val="25155209"/>
                <w:lock w:val="sdtLocked"/>
              </w:sdtPr>
              <w:sdtContent>
                <w:tc>
                  <w:tcPr>
                    <w:tcW w:w="2998" w:type="dxa"/>
                    <w:shd w:val="clear" w:color="auto" w:fill="auto"/>
                  </w:tcPr>
                  <w:p>
                    <w:pPr>
                      <w:pStyle w:val="76"/>
                      <w:autoSpaceDE w:val="0"/>
                      <w:autoSpaceDN w:val="0"/>
                      <w:adjustRightInd w:val="0"/>
                      <w:snapToGrid w:val="0"/>
                      <w:rPr>
                        <w:szCs w:val="21"/>
                      </w:rPr>
                    </w:pPr>
                    <w:r>
                      <w:rPr>
                        <w:rFonts w:hint="eastAsia"/>
                        <w:szCs w:val="21"/>
                      </w:rPr>
                      <w:t>质押借款</w:t>
                    </w:r>
                  </w:p>
                </w:tc>
              </w:sdtContent>
            </w:sdt>
            <w:tc>
              <w:tcPr>
                <w:tcW w:w="2999" w:type="dxa"/>
                <w:shd w:val="clear" w:color="auto" w:fill="auto"/>
              </w:tcPr>
              <w:p>
                <w:pPr>
                  <w:pStyle w:val="76"/>
                  <w:autoSpaceDE w:val="0"/>
                  <w:autoSpaceDN w:val="0"/>
                  <w:adjustRightInd w:val="0"/>
                  <w:snapToGrid w:val="0"/>
                  <w:ind w:right="180"/>
                  <w:jc w:val="right"/>
                  <w:rPr>
                    <w:szCs w:val="21"/>
                  </w:rPr>
                </w:pPr>
              </w:p>
            </w:tc>
            <w:tc>
              <w:tcPr>
                <w:tcW w:w="2896"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0b1001d1355e4c59a134f674ebe8204e"/>
                <w:id w:val="25155210"/>
                <w:lock w:val="sdtLocked"/>
              </w:sdtPr>
              <w:sdtContent>
                <w:tc>
                  <w:tcPr>
                    <w:tcW w:w="2998" w:type="dxa"/>
                    <w:shd w:val="clear" w:color="auto" w:fill="auto"/>
                  </w:tcPr>
                  <w:p>
                    <w:pPr>
                      <w:pStyle w:val="76"/>
                      <w:autoSpaceDE w:val="0"/>
                      <w:autoSpaceDN w:val="0"/>
                      <w:adjustRightInd w:val="0"/>
                      <w:snapToGrid w:val="0"/>
                      <w:rPr>
                        <w:szCs w:val="21"/>
                      </w:rPr>
                    </w:pPr>
                    <w:r>
                      <w:rPr>
                        <w:rFonts w:hint="eastAsia"/>
                        <w:szCs w:val="21"/>
                      </w:rPr>
                      <w:t>抵押借款</w:t>
                    </w:r>
                  </w:p>
                </w:tc>
              </w:sdtContent>
            </w:sdt>
            <w:tc>
              <w:tcPr>
                <w:tcW w:w="2999" w:type="dxa"/>
                <w:shd w:val="clear" w:color="auto" w:fill="auto"/>
              </w:tcPr>
              <w:p>
                <w:pPr>
                  <w:pStyle w:val="76"/>
                  <w:autoSpaceDE w:val="0"/>
                  <w:autoSpaceDN w:val="0"/>
                  <w:adjustRightInd w:val="0"/>
                  <w:snapToGrid w:val="0"/>
                  <w:ind w:right="180"/>
                  <w:jc w:val="right"/>
                  <w:rPr>
                    <w:szCs w:val="21"/>
                  </w:rPr>
                </w:pPr>
              </w:p>
            </w:tc>
            <w:tc>
              <w:tcPr>
                <w:tcW w:w="2896"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669e61b5dd004cb5a74065b7b27bba92"/>
                <w:id w:val="25155211"/>
                <w:lock w:val="sdtLocked"/>
              </w:sdtPr>
              <w:sdtContent>
                <w:tc>
                  <w:tcPr>
                    <w:tcW w:w="2998" w:type="dxa"/>
                    <w:shd w:val="clear" w:color="auto" w:fill="auto"/>
                  </w:tcPr>
                  <w:p>
                    <w:pPr>
                      <w:pStyle w:val="76"/>
                      <w:autoSpaceDE w:val="0"/>
                      <w:autoSpaceDN w:val="0"/>
                      <w:adjustRightInd w:val="0"/>
                      <w:snapToGrid w:val="0"/>
                      <w:rPr>
                        <w:szCs w:val="21"/>
                      </w:rPr>
                    </w:pPr>
                    <w:r>
                      <w:rPr>
                        <w:rFonts w:hint="eastAsia"/>
                        <w:szCs w:val="21"/>
                      </w:rPr>
                      <w:t>保证借款</w:t>
                    </w:r>
                  </w:p>
                </w:tc>
              </w:sdtContent>
            </w:sdt>
            <w:tc>
              <w:tcPr>
                <w:tcW w:w="2999" w:type="dxa"/>
                <w:shd w:val="clear" w:color="auto" w:fill="auto"/>
              </w:tcPr>
              <w:p>
                <w:pPr>
                  <w:pStyle w:val="76"/>
                  <w:autoSpaceDE w:val="0"/>
                  <w:autoSpaceDN w:val="0"/>
                  <w:adjustRightInd w:val="0"/>
                  <w:snapToGrid w:val="0"/>
                  <w:ind w:right="180"/>
                  <w:jc w:val="right"/>
                  <w:rPr>
                    <w:szCs w:val="21"/>
                  </w:rPr>
                </w:pPr>
                <w:r>
                  <w:t>628,500,000.00</w:t>
                </w:r>
              </w:p>
            </w:tc>
            <w:tc>
              <w:tcPr>
                <w:tcW w:w="2896"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2312ba41d50b4809827a433abcf13e0a"/>
                <w:id w:val="25155212"/>
                <w:lock w:val="sdtLocked"/>
              </w:sdtPr>
              <w:sdtContent>
                <w:tc>
                  <w:tcPr>
                    <w:tcW w:w="2998" w:type="dxa"/>
                    <w:shd w:val="clear" w:color="auto" w:fill="auto"/>
                  </w:tcPr>
                  <w:p>
                    <w:pPr>
                      <w:pStyle w:val="76"/>
                      <w:autoSpaceDE w:val="0"/>
                      <w:autoSpaceDN w:val="0"/>
                      <w:adjustRightInd w:val="0"/>
                      <w:snapToGrid w:val="0"/>
                      <w:rPr>
                        <w:szCs w:val="21"/>
                      </w:rPr>
                    </w:pPr>
                    <w:r>
                      <w:rPr>
                        <w:rFonts w:hint="eastAsia"/>
                        <w:szCs w:val="21"/>
                      </w:rPr>
                      <w:t>信用借款</w:t>
                    </w:r>
                  </w:p>
                </w:tc>
              </w:sdtContent>
            </w:sdt>
            <w:tc>
              <w:tcPr>
                <w:tcW w:w="2999" w:type="dxa"/>
                <w:shd w:val="clear" w:color="auto" w:fill="auto"/>
              </w:tcPr>
              <w:p>
                <w:pPr>
                  <w:pStyle w:val="76"/>
                  <w:autoSpaceDE w:val="0"/>
                  <w:autoSpaceDN w:val="0"/>
                  <w:adjustRightInd w:val="0"/>
                  <w:snapToGrid w:val="0"/>
                  <w:ind w:right="180"/>
                  <w:jc w:val="right"/>
                  <w:rPr>
                    <w:szCs w:val="21"/>
                  </w:rPr>
                </w:pPr>
                <w:r>
                  <w:t>400,000,000.00</w:t>
                </w:r>
              </w:p>
            </w:tc>
            <w:tc>
              <w:tcPr>
                <w:tcW w:w="2896"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f7e631a83103405986891624f37b155a"/>
                <w:id w:val="25155213"/>
                <w:lock w:val="sdtLocked"/>
              </w:sdtPr>
              <w:sdtContent>
                <w:tc>
                  <w:tcPr>
                    <w:tcW w:w="2998" w:type="dxa"/>
                    <w:vAlign w:val="center"/>
                  </w:tcPr>
                  <w:p>
                    <w:pPr>
                      <w:pStyle w:val="76"/>
                      <w:autoSpaceDE w:val="0"/>
                      <w:autoSpaceDN w:val="0"/>
                      <w:adjustRightInd w:val="0"/>
                      <w:snapToGrid w:val="0"/>
                      <w:jc w:val="center"/>
                      <w:rPr>
                        <w:szCs w:val="21"/>
                      </w:rPr>
                    </w:pPr>
                    <w:r>
                      <w:rPr>
                        <w:rFonts w:hint="eastAsia"/>
                        <w:szCs w:val="21"/>
                      </w:rPr>
                      <w:t>合计</w:t>
                    </w:r>
                  </w:p>
                </w:tc>
              </w:sdtContent>
            </w:sdt>
            <w:tc>
              <w:tcPr>
                <w:tcW w:w="2999" w:type="dxa"/>
              </w:tcPr>
              <w:p>
                <w:pPr>
                  <w:pStyle w:val="76"/>
                  <w:autoSpaceDE w:val="0"/>
                  <w:autoSpaceDN w:val="0"/>
                  <w:adjustRightInd w:val="0"/>
                  <w:snapToGrid w:val="0"/>
                  <w:ind w:right="180"/>
                  <w:jc w:val="right"/>
                  <w:rPr>
                    <w:szCs w:val="21"/>
                  </w:rPr>
                </w:pPr>
                <w:r>
                  <w:rPr>
                    <w:szCs w:val="21"/>
                  </w:rPr>
                  <w:t>1,028,500,000</w:t>
                </w:r>
              </w:p>
            </w:tc>
            <w:tc>
              <w:tcPr>
                <w:tcW w:w="2896" w:type="dxa"/>
              </w:tcPr>
              <w:p>
                <w:pPr>
                  <w:pStyle w:val="76"/>
                  <w:jc w:val="right"/>
                  <w:rPr>
                    <w:szCs w:val="21"/>
                  </w:rPr>
                </w:pPr>
              </w:p>
            </w:tc>
          </w:tr>
        </w:tbl>
        <w:p>
          <w:pPr>
            <w:pStyle w:val="76"/>
          </w:pPr>
        </w:p>
        <w:p>
          <w:pPr>
            <w:pStyle w:val="76"/>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25155214"/>
            <w:lock w:val="sdtLocked"/>
            <w:placeholder>
              <w:docPart w:val="GBC22222222222222222222222222222"/>
            </w:placeholder>
          </w:sdtPr>
          <w:sdtEndPr>
            <w:rPr>
              <w:szCs w:val="21"/>
            </w:rPr>
          </w:sdtEndPr>
          <w:sdtContent>
            <w:p>
              <w:pPr>
                <w:pStyle w:val="76"/>
                <w:rPr>
                  <w:szCs w:val="21"/>
                </w:rPr>
              </w:pPr>
              <w:r>
                <w:rPr>
                  <w:rFonts w:hint="eastAsia"/>
                  <w:szCs w:val="21"/>
                </w:rPr>
                <w:t>本公司按照取得该借款的方式或条件确定借款类别。</w:t>
              </w:r>
            </w:p>
            <w:p>
              <w:pPr>
                <w:pStyle w:val="76"/>
                <w:snapToGrid w:val="0"/>
                <w:rPr>
                  <w:rFonts w:cstheme="minorBidi"/>
                  <w:color w:val="000000" w:themeColor="text1"/>
                  <w:kern w:val="2"/>
                  <w:szCs w:val="21"/>
                </w:rPr>
              </w:pPr>
            </w:p>
          </w:sdtContent>
        </w:sdt>
      </w:sdtContent>
    </w:sdt>
    <w:sdt>
      <w:sdtPr>
        <w:rPr>
          <w:rFonts w:hint="eastAsia"/>
          <w:color w:val="000000" w:themeColor="text1"/>
          <w:szCs w:val="21"/>
        </w:rPr>
        <w:alias w:val="模块:长期借款的说明"/>
        <w:tag w:val="_GBC_7195bfed3c6d4a6fb2b17f01aa73f311"/>
        <w:id w:val="25155218"/>
        <w:lock w:val="sdtLocked"/>
        <w:placeholder>
          <w:docPart w:val="GBC22222222222222222222222222222"/>
        </w:placeholder>
      </w:sdtPr>
      <w:sdtEndPr>
        <w:rPr>
          <w:rFonts w:hint="default"/>
          <w:color w:val="FF0000"/>
          <w:szCs w:val="21"/>
        </w:rPr>
      </w:sdtEndPr>
      <w:sdtContent>
        <w:p>
          <w:pPr>
            <w:pStyle w:val="76"/>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25155216"/>
            <w:lock w:val="sdtContentLocked"/>
            <w:placeholder>
              <w:docPart w:val="GBC22222222222222222222222222222"/>
            </w:placeholder>
          </w:sdtPr>
          <w:sdtEndPr>
            <w:rPr>
              <w:color w:val="000000" w:themeColor="text1"/>
              <w:szCs w:val="21"/>
            </w:rPr>
          </w:sdtEndPr>
          <w:sdtContent>
            <w:p>
              <w:pPr>
                <w:pStyle w:val="76"/>
                <w:snapToGrid w:val="0"/>
                <w:rPr>
                  <w:color w:val="000000" w:themeColor="text1"/>
                  <w:szCs w:val="21"/>
                </w:rPr>
              </w:pPr>
              <w:r>
                <w:rPr>
                  <w:color w:val="000000" w:themeColor="text1"/>
                  <w:szCs w:val="21"/>
                </w:rPr>
                <w:fldChar w:fldCharType="begin"/>
              </w:r>
              <w:r>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p>
          <w:pPr>
            <w:pStyle w:val="76"/>
            <w:snapToGrid w:val="0"/>
            <w:rPr>
              <w:color w:val="FF0000"/>
              <w:szCs w:val="21"/>
            </w:rPr>
          </w:pPr>
          <w:sdt>
            <w:sdtPr>
              <w:rPr>
                <w:szCs w:val="21"/>
              </w:rPr>
              <w:alias w:val="长期借款的说明"/>
              <w:tag w:val="_GBC_05c1a5b23bdb44ee812f7f625a395fd0"/>
              <w:id w:val="25155217"/>
              <w:lock w:val="sdtLocked"/>
              <w:placeholder>
                <w:docPart w:val="GBC22222222222222222222222222222"/>
              </w:placeholder>
            </w:sdtPr>
            <w:sdtEndPr>
              <w:rPr>
                <w:color w:val="FF0000"/>
                <w:szCs w:val="21"/>
              </w:rPr>
            </w:sdtEndPr>
            <w:sdtContent>
              <w:r>
                <w:rPr>
                  <w:rFonts w:hint="eastAsia"/>
                  <w:szCs w:val="21"/>
                </w:rPr>
                <w:t>长期借款利率区间：美元：</w:t>
              </w:r>
              <w:r>
                <w:rPr>
                  <w:szCs w:val="21"/>
                </w:rPr>
                <w:t>3%；人民币：4.75%</w:t>
              </w:r>
            </w:sdtContent>
          </w:sdt>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应付债券</w:t>
      </w:r>
    </w:p>
    <w:sdt>
      <w:sdtPr>
        <w:rPr>
          <w:rFonts w:hint="eastAsia" w:ascii="宋体" w:hAnsi="宋体" w:cs="宋体"/>
          <w:b w:val="0"/>
          <w:bCs w:val="0"/>
          <w:kern w:val="0"/>
          <w:szCs w:val="24"/>
        </w:rPr>
        <w:alias w:val="模块:应付债券"/>
        <w:tag w:val="_GBC_cd8e29427b9b4eecb46188c744528e27"/>
        <w:id w:val="25155220"/>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69"/>
            </w:numPr>
            <w:tabs>
              <w:tab w:val="left" w:pos="672"/>
            </w:tabs>
          </w:pPr>
          <w:r>
            <w:rPr>
              <w:rFonts w:hint="eastAsia"/>
            </w:rPr>
            <w:t>应付</w:t>
          </w:r>
          <w:r>
            <w:rPr>
              <w:rFonts w:hint="eastAsia" w:ascii="宋体" w:hAnsi="宋体"/>
              <w:szCs w:val="21"/>
            </w:rPr>
            <w:t>债券</w:t>
          </w:r>
        </w:p>
        <w:sdt>
          <w:sdtPr>
            <w:rPr>
              <w:rFonts w:hint="eastAsia"/>
            </w:rPr>
            <w:alias w:val="是否适用：应付债券[双击切换]"/>
            <w:tag w:val="_GBC_b07c291c892844efaca56bc1d52b1566"/>
            <w:id w:val="25155219"/>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eastAsiaTheme="minorEastAsia" w:cstheme="minorBidi"/>
          <w:b w:val="0"/>
          <w:bCs w:val="0"/>
          <w:kern w:val="0"/>
          <w:szCs w:val="22"/>
        </w:rPr>
        <w:alias w:val="模块:应付债券的增减变动"/>
        <w:tag w:val="_GBC_93c3424329ce41edbb49a50ffbdbc9d7"/>
        <w:id w:val="25155222"/>
        <w:lock w:val="sdtLocked"/>
        <w:placeholder>
          <w:docPart w:val="GBC22222222222222222222222222222"/>
        </w:placeholder>
      </w:sdtPr>
      <w:sdtEndPr>
        <w:rPr>
          <w:rFonts w:hint="eastAsia" w:ascii="宋体" w:hAnsi="宋体" w:eastAsia="宋体" w:cstheme="minorBidi"/>
          <w:b/>
          <w:bCs/>
          <w:color w:val="000000" w:themeColor="text1"/>
          <w:kern w:val="0"/>
          <w:szCs w:val="21"/>
        </w:rPr>
      </w:sdtEndPr>
      <w:sdtContent>
        <w:p>
          <w:pPr>
            <w:pStyle w:val="80"/>
            <w:numPr>
              <w:ilvl w:val="0"/>
              <w:numId w:val="69"/>
            </w:numPr>
            <w:tabs>
              <w:tab w:val="left" w:pos="672"/>
            </w:tabs>
            <w:rPr>
              <w:rFonts w:ascii="宋体" w:hAnsi="宋体"/>
              <w:szCs w:val="21"/>
            </w:rPr>
          </w:pPr>
          <w:r>
            <w:rPr>
              <w:rFonts w:ascii="宋体" w:hAnsi="宋体"/>
              <w:szCs w:val="21"/>
            </w:rPr>
            <w:t>应付债券的增减变动</w:t>
          </w:r>
          <w:r>
            <w:rPr>
              <w:rFonts w:hint="eastAsia" w:ascii="宋体" w:hAnsi="宋体"/>
              <w:szCs w:val="21"/>
            </w:rPr>
            <w:t>：（不包括划分为金融负债的优先股、永续债等其他金融工具）</w:t>
          </w:r>
        </w:p>
        <w:sdt>
          <w:sdtPr>
            <w:alias w:val="是否适用：应付债券的增减变动[双击切换]"/>
            <w:tag w:val="_GBC_4b9b2c6cc76845b79e52a5d821e1cf5a"/>
            <w:id w:val="2515522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可转换公司债券的转股条件、转股时间说明："/>
        <w:tag w:val="_GBC_235b19ac1003437586dbfe1a48116b09"/>
        <w:id w:val="25155224"/>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69"/>
            </w:numPr>
            <w:tabs>
              <w:tab w:val="left" w:pos="672"/>
            </w:tabs>
            <w:rPr>
              <w:szCs w:val="21"/>
            </w:rPr>
          </w:pPr>
          <w:bookmarkStart w:id="56" w:name="OLE_LINK18"/>
          <w:bookmarkStart w:id="57" w:name="OLE_LINK16"/>
          <w:r>
            <w:rPr>
              <w:rFonts w:hint="eastAsia"/>
              <w:szCs w:val="21"/>
            </w:rPr>
            <w:t>可</w:t>
          </w:r>
          <w:r>
            <w:rPr>
              <w:rFonts w:hint="eastAsia" w:ascii="宋体" w:hAnsi="宋体"/>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25155223"/>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1"/>
        </w:rPr>
        <w:alias w:val="模块:划分为金融负债的其他金融工具说明"/>
        <w:tag w:val="_GBC_d031ed2380884bb4aa3cb2efb2740308"/>
        <w:id w:val="25155228"/>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69"/>
            </w:numPr>
            <w:tabs>
              <w:tab w:val="left" w:pos="672"/>
            </w:tabs>
            <w:rPr>
              <w:szCs w:val="21"/>
            </w:rPr>
          </w:pPr>
          <w:bookmarkEnd w:id="56"/>
          <w:bookmarkEnd w:id="57"/>
          <w:r>
            <w:rPr>
              <w:rFonts w:hint="eastAsia"/>
              <w:szCs w:val="21"/>
            </w:rPr>
            <w:t>划分为金融负债的其他金融工具说明：</w:t>
          </w:r>
        </w:p>
        <w:p>
          <w:pPr>
            <w:pStyle w:val="76"/>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25155225"/>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p>
          <w:pPr>
            <w:pStyle w:val="76"/>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25155226"/>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25155227"/>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sdt>
      <w:sdtPr>
        <w:rPr>
          <w:rFonts w:hint="eastAsia"/>
          <w:szCs w:val="21"/>
        </w:rPr>
        <w:alias w:val="模块:应付债券其他说明"/>
        <w:tag w:val="_GBC_32fb23173d7a4a4fa8cb056982254a59"/>
        <w:id w:val="25155231"/>
        <w:lock w:val="sdtLocked"/>
        <w:placeholder>
          <w:docPart w:val="GBC22222222222222222222222222222"/>
        </w:placeholder>
      </w:sdtPr>
      <w:sdtEndPr>
        <w:rPr>
          <w:rFonts w:hint="eastAsia"/>
          <w:szCs w:val="21"/>
        </w:rPr>
      </w:sdtEndPr>
      <w:sdtContent>
        <w:p>
          <w:pPr>
            <w:pStyle w:val="76"/>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25155229"/>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应付债券的其他说明"/>
            <w:tag w:val="_GBC_0c0b32a1cd734af1a8603dcacbfccb01"/>
            <w:id w:val="25155230"/>
            <w:lock w:val="sdtLocked"/>
            <w:placeholder>
              <w:docPart w:val="GBC22222222222222222222222222222"/>
            </w:placeholder>
          </w:sdtPr>
          <w:sdtEndPr>
            <w:rPr>
              <w:rFonts w:hint="eastAsia"/>
              <w:szCs w:val="21"/>
            </w:rPr>
          </w:sdtEndPr>
          <w:sdtContent>
            <w:p>
              <w:pPr>
                <w:pStyle w:val="76"/>
                <w:rPr>
                  <w:szCs w:val="21"/>
                </w:rPr>
              </w:pPr>
              <w:r>
                <w:rPr>
                  <w:rFonts w:hint="eastAsia"/>
                  <w:szCs w:val="21"/>
                </w:rPr>
                <w:t>本报告期末公司应付债券余额424,577,708.06元，将于2019年6月到期，已在一年内到期的非流动负债列示。</w:t>
              </w:r>
            </w:p>
          </w:sdtContent>
        </w:sdt>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长期应付款</w:t>
      </w:r>
    </w:p>
    <w:sdt>
      <w:sdtPr>
        <w:rPr>
          <w:rFonts w:asciiTheme="minorHAnsi" w:hAnsiTheme="minorHAnsi" w:eastAsiaTheme="minorEastAsia" w:cstheme="minorBidi"/>
          <w:b w:val="0"/>
          <w:bCs w:val="0"/>
          <w:kern w:val="0"/>
          <w:szCs w:val="22"/>
        </w:rPr>
        <w:alias w:val="模块:按款项性质列示长期应付款"/>
        <w:tag w:val="_GBC_3fb087b159134b92b1aaefe46f58b11e"/>
        <w:id w:val="25155233"/>
        <w:lock w:val="sdtLocked"/>
        <w:placeholder>
          <w:docPart w:val="GBC22222222222222222222222222222"/>
        </w:placeholder>
      </w:sdtPr>
      <w:sdtEndPr>
        <w:rPr>
          <w:rFonts w:ascii="宋体" w:hAnsi="宋体" w:eastAsia="宋体" w:cstheme="minorBidi"/>
          <w:b w:val="0"/>
          <w:bCs w:val="0"/>
          <w:kern w:val="0"/>
          <w:szCs w:val="21"/>
        </w:rPr>
      </w:sdtEndPr>
      <w:sdtContent>
        <w:p>
          <w:pPr>
            <w:pStyle w:val="80"/>
            <w:numPr>
              <w:ilvl w:val="0"/>
              <w:numId w:val="70"/>
            </w:numPr>
            <w:tabs>
              <w:tab w:val="left" w:pos="700"/>
            </w:tabs>
            <w:rPr>
              <w:rFonts w:ascii="宋体" w:hAnsi="宋体"/>
              <w:szCs w:val="21"/>
            </w:rPr>
          </w:pPr>
          <w:r>
            <w:rPr>
              <w:rFonts w:hint="eastAsia" w:ascii="宋体" w:hAnsi="宋体"/>
              <w:szCs w:val="21"/>
            </w:rPr>
            <w:t>按款项性质列示长期应付款：</w:t>
          </w:r>
        </w:p>
        <w:sdt>
          <w:sdtPr>
            <w:alias w:val="是否适用：按款项性质列示长期应付款[双击切换]"/>
            <w:tag w:val="_GBC_9f5f5176d2ec4ac8881ea75042d3a1c4"/>
            <w:id w:val="2515523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p>
          <w:pPr>
            <w:pStyle w:val="76"/>
            <w:rPr>
              <w:szCs w:val="21"/>
            </w:rPr>
          </w:pPr>
        </w:p>
      </w:sdtContent>
    </w:sdt>
    <w:p>
      <w:pPr>
        <w:pStyle w:val="79"/>
        <w:numPr>
          <w:ilvl w:val="0"/>
          <w:numId w:val="46"/>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2515523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
      <w:sdtPr>
        <w:rPr>
          <w:rFonts w:hint="eastAsia" w:ascii="宋体" w:hAnsi="宋体" w:cs="宋体"/>
          <w:b w:val="0"/>
          <w:bCs w:val="0"/>
          <w:kern w:val="0"/>
          <w:szCs w:val="21"/>
        </w:rPr>
        <w:alias w:val="模块:专项应付款"/>
        <w:tag w:val="_GBC_6847689be8c1493eb5db4e6dbab0fdbe"/>
        <w:id w:val="25155236"/>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专项应付款</w:t>
          </w:r>
        </w:p>
        <w:sdt>
          <w:sdtPr>
            <w:alias w:val="是否适用：专项应付款[双击切换]"/>
            <w:tag w:val="_GBC_f70a824e87784429a75fa648d7634cf8"/>
            <w:id w:val="2515523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rPr>
              <w:szCs w:val="21"/>
            </w:rPr>
          </w:pPr>
        </w:p>
      </w:sdtContent>
    </w:sdt>
    <w:p>
      <w:pPr>
        <w:pStyle w:val="76"/>
        <w:rPr>
          <w:szCs w:val="21"/>
        </w:rPr>
      </w:pPr>
    </w:p>
    <w:sdt>
      <w:sdtPr>
        <w:rPr>
          <w:rFonts w:hint="eastAsia" w:ascii="宋体" w:hAnsi="宋体" w:cs="宋体"/>
          <w:b w:val="0"/>
          <w:bCs w:val="0"/>
          <w:kern w:val="0"/>
          <w:szCs w:val="21"/>
        </w:rPr>
        <w:alias w:val="模块:预计负债"/>
        <w:tag w:val="_GBC_6b41f75046264d5392c8786bf4fd2da4"/>
        <w:id w:val="25155238"/>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预计负债</w:t>
          </w:r>
        </w:p>
        <w:sdt>
          <w:sdtPr>
            <w:alias w:val="是否适用：预计负债[双击切换]"/>
            <w:tag w:val="_GBC_1687da235caf410f866f00240cee7fdb"/>
            <w:id w:val="2515523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autoSpaceDE w:val="0"/>
            <w:autoSpaceDN w:val="0"/>
            <w:adjustRightInd w:val="0"/>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递延收益</w:t>
      </w:r>
    </w:p>
    <w:sdt>
      <w:sdtPr>
        <w:rPr>
          <w:rFonts w:hint="eastAsia" w:ascii="宋体" w:hAnsi="宋体" w:cs="宋体"/>
          <w:kern w:val="0"/>
          <w:szCs w:val="21"/>
        </w:rPr>
        <w:alias w:val="模块:递延收益"/>
        <w:tag w:val="_GBC_8d74a4d69f6940c3968ca9c4cf2a1b4c"/>
        <w:id w:val="25155250"/>
        <w:lock w:val="sdtLocked"/>
        <w:placeholder>
          <w:docPart w:val="GBC22222222222222222222222222222"/>
        </w:placeholder>
      </w:sdtPr>
      <w:sdtEndPr>
        <w:rPr>
          <w:rFonts w:hint="eastAsia" w:ascii="宋体" w:hAnsi="宋体" w:cs="宋体"/>
          <w:kern w:val="0"/>
          <w:szCs w:val="24"/>
        </w:rPr>
      </w:sdtEndPr>
      <w:sdtContent>
        <w:p>
          <w:pPr>
            <w:pStyle w:val="90"/>
            <w:ind w:firstLine="0" w:firstLineChars="0"/>
            <w:jc w:val="left"/>
            <w:rPr>
              <w:rFonts w:ascii="宋体" w:hAnsi="宋体" w:cs="宋体"/>
              <w:kern w:val="0"/>
              <w:szCs w:val="21"/>
            </w:rPr>
          </w:pPr>
          <w:r>
            <w:rPr>
              <w:rFonts w:hint="eastAsia" w:ascii="宋体" w:hAnsi="宋体" w:cs="宋体"/>
              <w:kern w:val="0"/>
              <w:szCs w:val="21"/>
            </w:rPr>
            <w:t>递延收益情况</w:t>
          </w:r>
        </w:p>
        <w:sdt>
          <w:sdtPr>
            <w:rPr>
              <w:rFonts w:ascii="宋体" w:hAnsi="宋体" w:cs="宋体"/>
              <w:kern w:val="0"/>
              <w:szCs w:val="21"/>
            </w:rPr>
            <w:alias w:val="是否适用：递延收益情况 [双击切换]"/>
            <w:tag w:val="_GBC_2c1393684e764245824b2390014e92f1"/>
            <w:id w:val="25155239"/>
            <w:lock w:val="sdtContentLocked"/>
            <w:placeholder>
              <w:docPart w:val="GBC22222222222222222222222222222"/>
            </w:placeholder>
          </w:sdtPr>
          <w:sdtEndPr>
            <w:rPr>
              <w:rFonts w:ascii="宋体" w:hAnsi="宋体" w:cs="宋体"/>
              <w:kern w:val="0"/>
              <w:szCs w:val="21"/>
            </w:rPr>
          </w:sdtEndPr>
          <w:sdtContent>
            <w:p>
              <w:pPr>
                <w:pStyle w:val="90"/>
                <w:ind w:firstLine="0" w:firstLineChars="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pPr>
            <w:pStyle w:val="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递延收益"/>
              <w:tag w:val="_GBC_cf9505178ef64cd8b1a42757a7aaf77d"/>
              <w:id w:val="251552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递延收益"/>
              <w:tag w:val="_GBC_b7ba9c3d835b413e83140a438bc5c413"/>
              <w:id w:val="251552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24"/>
            <w:gridCol w:w="1425"/>
            <w:gridCol w:w="1126"/>
            <w:gridCol w:w="1418"/>
            <w:gridCol w:w="17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35" w:hRule="atLeast"/>
            </w:trPr>
            <w:sdt>
              <w:sdtPr>
                <w:tag w:val="_PLD_eeb45564af314089916105a5217e0ff6"/>
                <w:id w:val="25155242"/>
                <w:lock w:val="sdtLocked"/>
              </w:sdtPr>
              <w:sdtContent>
                <w:tc>
                  <w:tcPr>
                    <w:tcW w:w="1024" w:type="dxa"/>
                    <w:shd w:val="clear" w:color="auto" w:fill="auto"/>
                    <w:vAlign w:val="center"/>
                  </w:tcPr>
                  <w:p>
                    <w:pPr>
                      <w:pStyle w:val="76"/>
                      <w:jc w:val="center"/>
                      <w:rPr>
                        <w:szCs w:val="21"/>
                      </w:rPr>
                    </w:pPr>
                    <w:r>
                      <w:rPr>
                        <w:rFonts w:hint="eastAsia"/>
                        <w:szCs w:val="21"/>
                      </w:rPr>
                      <w:t>项目</w:t>
                    </w:r>
                  </w:p>
                </w:tc>
              </w:sdtContent>
            </w:sdt>
            <w:sdt>
              <w:sdtPr>
                <w:tag w:val="_PLD_e0613743f99d4af58a75406a4e2ba5a1"/>
                <w:id w:val="25155243"/>
                <w:lock w:val="sdtLocked"/>
              </w:sdtPr>
              <w:sdtContent>
                <w:tc>
                  <w:tcPr>
                    <w:tcW w:w="1425" w:type="dxa"/>
                    <w:shd w:val="clear" w:color="auto" w:fill="auto"/>
                    <w:vAlign w:val="center"/>
                  </w:tcPr>
                  <w:p>
                    <w:pPr>
                      <w:pStyle w:val="76"/>
                      <w:jc w:val="center"/>
                      <w:rPr>
                        <w:szCs w:val="21"/>
                      </w:rPr>
                    </w:pPr>
                    <w:r>
                      <w:rPr>
                        <w:rFonts w:hint="eastAsia"/>
                        <w:szCs w:val="21"/>
                      </w:rPr>
                      <w:t>期初余额</w:t>
                    </w:r>
                  </w:p>
                </w:tc>
              </w:sdtContent>
            </w:sdt>
            <w:sdt>
              <w:sdtPr>
                <w:tag w:val="_PLD_a27f928ad4574fe594e5f995d7a37059"/>
                <w:id w:val="25155244"/>
                <w:lock w:val="sdtLocked"/>
              </w:sdtPr>
              <w:sdtContent>
                <w:tc>
                  <w:tcPr>
                    <w:tcW w:w="1126" w:type="dxa"/>
                    <w:shd w:val="clear" w:color="auto" w:fill="auto"/>
                    <w:vAlign w:val="center"/>
                  </w:tcPr>
                  <w:p>
                    <w:pPr>
                      <w:pStyle w:val="76"/>
                      <w:jc w:val="center"/>
                      <w:rPr>
                        <w:szCs w:val="21"/>
                      </w:rPr>
                    </w:pPr>
                    <w:r>
                      <w:rPr>
                        <w:rFonts w:hint="eastAsia"/>
                        <w:szCs w:val="21"/>
                      </w:rPr>
                      <w:t>本期增加</w:t>
                    </w:r>
                  </w:p>
                </w:tc>
              </w:sdtContent>
            </w:sdt>
            <w:sdt>
              <w:sdtPr>
                <w:tag w:val="_PLD_ed95bef3663d40fb90dd15d113f7f2c1"/>
                <w:id w:val="25155245"/>
                <w:lock w:val="sdtLocked"/>
              </w:sdtPr>
              <w:sdtContent>
                <w:tc>
                  <w:tcPr>
                    <w:tcW w:w="1418" w:type="dxa"/>
                    <w:shd w:val="clear" w:color="auto" w:fill="auto"/>
                    <w:vAlign w:val="center"/>
                  </w:tcPr>
                  <w:p>
                    <w:pPr>
                      <w:pStyle w:val="76"/>
                      <w:jc w:val="center"/>
                      <w:rPr>
                        <w:szCs w:val="21"/>
                      </w:rPr>
                    </w:pPr>
                    <w:r>
                      <w:rPr>
                        <w:rFonts w:hint="eastAsia"/>
                        <w:szCs w:val="21"/>
                      </w:rPr>
                      <w:t>本期减少</w:t>
                    </w:r>
                  </w:p>
                </w:tc>
              </w:sdtContent>
            </w:sdt>
            <w:sdt>
              <w:sdtPr>
                <w:tag w:val="_PLD_367cd0591009413e93857494eaf8170a"/>
                <w:id w:val="25155246"/>
                <w:lock w:val="sdtLocked"/>
              </w:sdtPr>
              <w:sdtContent>
                <w:tc>
                  <w:tcPr>
                    <w:tcW w:w="1700" w:type="dxa"/>
                    <w:shd w:val="clear" w:color="auto" w:fill="auto"/>
                    <w:vAlign w:val="center"/>
                  </w:tcPr>
                  <w:p>
                    <w:pPr>
                      <w:pStyle w:val="76"/>
                      <w:jc w:val="center"/>
                      <w:rPr>
                        <w:szCs w:val="21"/>
                      </w:rPr>
                    </w:pPr>
                    <w:r>
                      <w:rPr>
                        <w:rFonts w:hint="eastAsia"/>
                        <w:szCs w:val="21"/>
                      </w:rPr>
                      <w:t>期末余额</w:t>
                    </w:r>
                  </w:p>
                </w:tc>
              </w:sdtContent>
            </w:sdt>
            <w:sdt>
              <w:sdtPr>
                <w:tag w:val="_PLD_d61ffc61194047d79611cccd8488aece"/>
                <w:id w:val="25155247"/>
                <w:lock w:val="sdtLocked"/>
              </w:sdtPr>
              <w:sdtContent>
                <w:tc>
                  <w:tcPr>
                    <w:tcW w:w="2200" w:type="dxa"/>
                    <w:shd w:val="clear" w:color="auto" w:fill="auto"/>
                    <w:vAlign w:val="center"/>
                  </w:tcPr>
                  <w:p>
                    <w:pPr>
                      <w:pStyle w:val="76"/>
                      <w:jc w:val="center"/>
                      <w:rPr>
                        <w:szCs w:val="21"/>
                      </w:rPr>
                    </w:pPr>
                    <w:r>
                      <w:rPr>
                        <w:rFonts w:hint="eastAsia"/>
                        <w:szCs w:val="21"/>
                      </w:rPr>
                      <w:t>形成原因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c4ae7ac076814abda447ee2261fb9baa"/>
                <w:id w:val="25155248"/>
                <w:lock w:val="sdtLocked"/>
              </w:sdtPr>
              <w:sdtContent>
                <w:tc>
                  <w:tcPr>
                    <w:tcW w:w="1024" w:type="dxa"/>
                    <w:shd w:val="clear" w:color="auto" w:fill="auto"/>
                    <w:vAlign w:val="center"/>
                  </w:tcPr>
                  <w:p>
                    <w:pPr>
                      <w:pStyle w:val="76"/>
                      <w:rPr>
                        <w:szCs w:val="21"/>
                      </w:rPr>
                    </w:pPr>
                    <w:r>
                      <w:rPr>
                        <w:rFonts w:hint="eastAsia"/>
                        <w:szCs w:val="21"/>
                      </w:rPr>
                      <w:t>政府补助</w:t>
                    </w:r>
                  </w:p>
                </w:tc>
              </w:sdtContent>
            </w:sdt>
            <w:tc>
              <w:tcPr>
                <w:tcW w:w="1425" w:type="dxa"/>
                <w:shd w:val="clear" w:color="auto" w:fill="auto"/>
              </w:tcPr>
              <w:p>
                <w:pPr>
                  <w:pStyle w:val="76"/>
                  <w:jc w:val="right"/>
                  <w:rPr>
                    <w:szCs w:val="21"/>
                  </w:rPr>
                </w:pPr>
                <w:r>
                  <w:t>76,438,107.61</w:t>
                </w:r>
              </w:p>
            </w:tc>
            <w:tc>
              <w:tcPr>
                <w:tcW w:w="1126" w:type="dxa"/>
                <w:shd w:val="clear" w:color="auto" w:fill="auto"/>
              </w:tcPr>
              <w:p>
                <w:pPr>
                  <w:pStyle w:val="76"/>
                  <w:jc w:val="right"/>
                  <w:rPr>
                    <w:szCs w:val="21"/>
                  </w:rPr>
                </w:pPr>
              </w:p>
            </w:tc>
            <w:tc>
              <w:tcPr>
                <w:tcW w:w="1418" w:type="dxa"/>
                <w:shd w:val="clear" w:color="auto" w:fill="auto"/>
              </w:tcPr>
              <w:p>
                <w:pPr>
                  <w:pStyle w:val="76"/>
                  <w:jc w:val="right"/>
                  <w:rPr>
                    <w:szCs w:val="21"/>
                  </w:rPr>
                </w:pPr>
                <w:r>
                  <w:t>4,779,202.12</w:t>
                </w:r>
              </w:p>
            </w:tc>
            <w:tc>
              <w:tcPr>
                <w:tcW w:w="1700" w:type="dxa"/>
                <w:shd w:val="clear" w:color="auto" w:fill="auto"/>
              </w:tcPr>
              <w:p>
                <w:pPr>
                  <w:pStyle w:val="76"/>
                  <w:jc w:val="right"/>
                  <w:rPr>
                    <w:szCs w:val="21"/>
                  </w:rPr>
                </w:pPr>
                <w:r>
                  <w:t>71,658,905.49</w:t>
                </w:r>
              </w:p>
            </w:tc>
            <w:tc>
              <w:tcPr>
                <w:tcW w:w="2200" w:type="dxa"/>
                <w:shd w:val="clear" w:color="auto" w:fill="auto"/>
              </w:tcPr>
              <w:p>
                <w:pPr>
                  <w:pStyle w:val="76"/>
                  <w:rPr>
                    <w:szCs w:val="21"/>
                  </w:rPr>
                </w:pPr>
                <w:r>
                  <w:rPr>
                    <w:rFonts w:hint="eastAsia"/>
                    <w:szCs w:val="21"/>
                  </w:rPr>
                  <w:t>与资产相关的政府补助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dc5eff4e97a943cb9b913ed360e42749"/>
                <w:id w:val="25155249"/>
                <w:lock w:val="sdtLocked"/>
              </w:sdtPr>
              <w:sdtContent>
                <w:tc>
                  <w:tcPr>
                    <w:tcW w:w="1024" w:type="dxa"/>
                    <w:shd w:val="clear" w:color="auto" w:fill="auto"/>
                    <w:vAlign w:val="center"/>
                  </w:tcPr>
                  <w:p>
                    <w:pPr>
                      <w:pStyle w:val="76"/>
                      <w:jc w:val="center"/>
                      <w:rPr>
                        <w:szCs w:val="21"/>
                      </w:rPr>
                    </w:pPr>
                    <w:r>
                      <w:rPr>
                        <w:rFonts w:hint="eastAsia"/>
                        <w:szCs w:val="21"/>
                      </w:rPr>
                      <w:t>合计</w:t>
                    </w:r>
                  </w:p>
                </w:tc>
              </w:sdtContent>
            </w:sdt>
            <w:tc>
              <w:tcPr>
                <w:tcW w:w="1425" w:type="dxa"/>
                <w:shd w:val="clear" w:color="auto" w:fill="auto"/>
              </w:tcPr>
              <w:p>
                <w:pPr>
                  <w:pStyle w:val="76"/>
                  <w:jc w:val="right"/>
                  <w:rPr>
                    <w:szCs w:val="21"/>
                  </w:rPr>
                </w:pPr>
                <w:r>
                  <w:t>76,438,107.61</w:t>
                </w:r>
              </w:p>
            </w:tc>
            <w:tc>
              <w:tcPr>
                <w:tcW w:w="1126" w:type="dxa"/>
                <w:shd w:val="clear" w:color="auto" w:fill="auto"/>
              </w:tcPr>
              <w:p>
                <w:pPr>
                  <w:pStyle w:val="76"/>
                  <w:jc w:val="right"/>
                  <w:rPr>
                    <w:szCs w:val="21"/>
                  </w:rPr>
                </w:pPr>
              </w:p>
            </w:tc>
            <w:tc>
              <w:tcPr>
                <w:tcW w:w="1418" w:type="dxa"/>
                <w:shd w:val="clear" w:color="auto" w:fill="auto"/>
              </w:tcPr>
              <w:p>
                <w:pPr>
                  <w:pStyle w:val="76"/>
                  <w:jc w:val="right"/>
                  <w:rPr>
                    <w:szCs w:val="21"/>
                  </w:rPr>
                </w:pPr>
                <w:r>
                  <w:t>4,779,202.12</w:t>
                </w:r>
              </w:p>
            </w:tc>
            <w:tc>
              <w:tcPr>
                <w:tcW w:w="1700" w:type="dxa"/>
                <w:shd w:val="clear" w:color="auto" w:fill="auto"/>
              </w:tcPr>
              <w:p>
                <w:pPr>
                  <w:pStyle w:val="76"/>
                  <w:jc w:val="right"/>
                  <w:rPr>
                    <w:szCs w:val="21"/>
                  </w:rPr>
                </w:pPr>
                <w:r>
                  <w:t>71,658,905.49</w:t>
                </w:r>
              </w:p>
            </w:tc>
            <w:tc>
              <w:tcPr>
                <w:tcW w:w="2200" w:type="dxa"/>
                <w:shd w:val="clear" w:color="auto" w:fill="auto"/>
              </w:tcPr>
              <w:p>
                <w:pPr>
                  <w:pStyle w:val="76"/>
                  <w:jc w:val="center"/>
                  <w:rPr>
                    <w:szCs w:val="21"/>
                  </w:rPr>
                </w:pPr>
                <w:r>
                  <w:rPr>
                    <w:rFonts w:hint="eastAsia"/>
                    <w:szCs w:val="21"/>
                  </w:rPr>
                  <w:t>/</w:t>
                </w:r>
              </w:p>
            </w:tc>
          </w:tr>
        </w:tbl>
        <w:p>
          <w:pPr>
            <w:pStyle w:val="76"/>
          </w:pPr>
        </w:p>
      </w:sdtContent>
    </w:sdt>
    <w:p>
      <w:pPr>
        <w:pStyle w:val="76"/>
        <w:rPr>
          <w:szCs w:val="21"/>
        </w:rPr>
      </w:pPr>
    </w:p>
    <w:sdt>
      <w:sdtPr>
        <w:rPr>
          <w:rFonts w:hint="eastAsia"/>
          <w:szCs w:val="21"/>
        </w:rPr>
        <w:alias w:val="模块:涉及政府补助的负债项目"/>
        <w:tag w:val="_GBC_e1594f7b2d3e4b13b3e32c6cde5b210a"/>
        <w:id w:val="25155285"/>
        <w:lock w:val="sdtLocked"/>
        <w:placeholder>
          <w:docPart w:val="GBC22222222222222222222222222222"/>
        </w:placeholder>
      </w:sdtPr>
      <w:sdtEndPr>
        <w:rPr>
          <w:rFonts w:hint="eastAsia"/>
          <w:szCs w:val="24"/>
        </w:rPr>
      </w:sdtEndPr>
      <w:sdtContent>
        <w:p>
          <w:pPr>
            <w:pStyle w:val="76"/>
            <w:spacing w:before="60" w:after="60"/>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25155251"/>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251552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251552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464"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297"/>
            <w:gridCol w:w="1274"/>
            <w:gridCol w:w="854"/>
            <w:gridCol w:w="992"/>
            <w:gridCol w:w="840"/>
            <w:gridCol w:w="100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sdt>
              <w:sdtPr>
                <w:rPr>
                  <w:sz w:val="18"/>
                  <w:szCs w:val="18"/>
                </w:rPr>
                <w:tag w:val="_PLD_1bd0a5248adb4713bfd06318a3648ceb"/>
                <w:id w:val="25155254"/>
                <w:lock w:val="sdtLocked"/>
              </w:sdtPr>
              <w:sdtEndPr>
                <w:rPr>
                  <w:sz w:val="18"/>
                  <w:szCs w:val="18"/>
                </w:rPr>
              </w:sdtEndPr>
              <w:sdtContent>
                <w:tc>
                  <w:tcPr>
                    <w:tcW w:w="3297"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负债项目</w:t>
                    </w:r>
                  </w:p>
                </w:tc>
              </w:sdtContent>
            </w:sdt>
            <w:sdt>
              <w:sdtPr>
                <w:rPr>
                  <w:sz w:val="18"/>
                  <w:szCs w:val="18"/>
                </w:rPr>
                <w:tag w:val="_PLD_11c88b40e8554a8db9e52728554ced53"/>
                <w:id w:val="25155255"/>
                <w:lock w:val="sdtLocked"/>
              </w:sdtPr>
              <w:sdtEndPr>
                <w:rPr>
                  <w:sz w:val="18"/>
                  <w:szCs w:val="18"/>
                </w:rPr>
              </w:sdtEndPr>
              <w:sdtContent>
                <w:tc>
                  <w:tcPr>
                    <w:tcW w:w="1274"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期初余额</w:t>
                    </w:r>
                  </w:p>
                </w:tc>
              </w:sdtContent>
            </w:sdt>
            <w:sdt>
              <w:sdtPr>
                <w:rPr>
                  <w:sz w:val="18"/>
                  <w:szCs w:val="18"/>
                </w:rPr>
                <w:tag w:val="_PLD_7b99be0925d1402da7bf5455be12c194"/>
                <w:id w:val="25155256"/>
                <w:lock w:val="sdtLocked"/>
              </w:sdtPr>
              <w:sdtEndPr>
                <w:rPr>
                  <w:sz w:val="18"/>
                  <w:szCs w:val="18"/>
                </w:rPr>
              </w:sdtEndPr>
              <w:sdtContent>
                <w:tc>
                  <w:tcPr>
                    <w:tcW w:w="854"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本期新增补助金额</w:t>
                    </w:r>
                  </w:p>
                </w:tc>
              </w:sdtContent>
            </w:sdt>
            <w:sdt>
              <w:sdtPr>
                <w:rPr>
                  <w:sz w:val="18"/>
                  <w:szCs w:val="18"/>
                </w:rPr>
                <w:tag w:val="_PLD_d945d90b68594904a9453791791d4ffa"/>
                <w:id w:val="25155257"/>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本期计入</w:t>
                    </w:r>
                    <w:r>
                      <w:rPr>
                        <w:rFonts w:hint="eastAsia"/>
                        <w:sz w:val="18"/>
                        <w:szCs w:val="18"/>
                      </w:rPr>
                      <w:t>其他收益</w:t>
                    </w:r>
                    <w:r>
                      <w:rPr>
                        <w:sz w:val="18"/>
                        <w:szCs w:val="18"/>
                      </w:rPr>
                      <w:t>金额</w:t>
                    </w:r>
                  </w:p>
                </w:tc>
              </w:sdtContent>
            </w:sdt>
            <w:sdt>
              <w:sdtPr>
                <w:rPr>
                  <w:sz w:val="18"/>
                  <w:szCs w:val="18"/>
                </w:rPr>
                <w:tag w:val="_PLD_822d9fedb3374c6199e425909b88c066"/>
                <w:id w:val="25155258"/>
                <w:lock w:val="sdtLocked"/>
              </w:sdtPr>
              <w:sdtEndPr>
                <w:rPr>
                  <w:sz w:val="18"/>
                  <w:szCs w:val="18"/>
                </w:rPr>
              </w:sdtEndPr>
              <w:sdtContent>
                <w:tc>
                  <w:tcPr>
                    <w:tcW w:w="840"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其他变动</w:t>
                    </w:r>
                  </w:p>
                </w:tc>
              </w:sdtContent>
            </w:sdt>
            <w:sdt>
              <w:sdtPr>
                <w:rPr>
                  <w:sz w:val="18"/>
                  <w:szCs w:val="18"/>
                </w:rPr>
                <w:tag w:val="_PLD_1a96043f63c146309b6472d84b4d7aa6"/>
                <w:id w:val="25155259"/>
                <w:lock w:val="sdtLocked"/>
              </w:sdtPr>
              <w:sdtEndPr>
                <w:rPr>
                  <w:sz w:val="18"/>
                  <w:szCs w:val="18"/>
                </w:rPr>
              </w:sdtEndPr>
              <w:sdtContent>
                <w:tc>
                  <w:tcPr>
                    <w:tcW w:w="1005"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期末余额</w:t>
                    </w:r>
                  </w:p>
                </w:tc>
              </w:sdtContent>
            </w:sdt>
            <w:sdt>
              <w:sdtPr>
                <w:rPr>
                  <w:sz w:val="18"/>
                  <w:szCs w:val="18"/>
                </w:rPr>
                <w:tag w:val="_PLD_b9b21d1fe20343d597f3219a3532324a"/>
                <w:id w:val="25155260"/>
                <w:lock w:val="sdtLocked"/>
              </w:sdtPr>
              <w:sdtEndPr>
                <w:rPr>
                  <w:sz w:val="18"/>
                  <w:szCs w:val="18"/>
                </w:rPr>
              </w:sdtEndPr>
              <w:sdtContent>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与资产相关/与收益相关</w:t>
                    </w:r>
                  </w:p>
                </w:tc>
              </w:sdtContent>
            </w:sdt>
          </w:tr>
          <w:sdt>
            <w:sdtPr>
              <w:rPr>
                <w:sz w:val="18"/>
                <w:szCs w:val="18"/>
              </w:rPr>
              <w:alias w:val="涉及政府补助的负债项目明细"/>
              <w:tag w:val="_GBC_57fa178d03fa46a3befea9bbb3ebc131"/>
              <w:id w:val="2515526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三焦加煤、推焦除尘地面站改造工程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4,157,740.95</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98,993.82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4,058,747.13</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焦化干熄焦节能改造工程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3,136,300.73</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318,945.84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2,817,354.89</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3#、4#干熄焦节能改造工程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4,229,012.39</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269,937.00</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3,959,075.39</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160吨/小时干熄焦节能改造工程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3,043,779.79</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220,032.24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2,823,747.55</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焦炉煤气氨气回收综合利用工程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1,440,801.84</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90,997.98</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1,349,803.86</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110M2、265M2烧结机头烟气脱硫工程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2,361,721.81</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168,694.44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2,193,027.37</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1#烧结机（360M2烧结机）技术改造工程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2,725,214.37</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268,053.84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2,457,160.53</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第二高速线材技术改造工程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2,448,784.87</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165,086.64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2,283,698.23</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6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合金棒材生产线技术改造(三棒）工程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1,460,177.05</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99,557.52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1,360,619.53</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150T转炉节能技术改造工程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1,421,185.03</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133,236.12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1,287,948.91</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2*360M2烧结机头烟气脱硫工程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14,671,166.54</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715,666.68</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13,955,499.86</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焦化全干熄焦配套完善工程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1,333,333.40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66,666.66</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1,266,666.74</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棒线厂第四棒材生产线技术改造工程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1,625,000.02</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83,333.34</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1,541,666.68</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焦化230万吨/年煤调湿工程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8,659,444.32</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363,333.36</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8,296,110.96</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球团烟气脱硫技术改造工程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3,444,444.50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133,333.32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3,311,111.18</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焦化废水深度处理工程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800,000.00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800,000.00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120万吨氧化球团电除尘改造</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900,000.00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900,000.00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256㎡烧结机尾电除尘器升级改造</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350,000.00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350,000.00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7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炼铁厂三运焦区域物料转运场扬尘治理</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230,000.00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230,000.00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8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东部老喷煤系统除尘改造</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120,000.00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120,000.00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8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转炉烟气除尘技术改造（一期）</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15,000,000.00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1,583,333.32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13,416,666.68</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8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炼铁厂AV71鼓风机脱失鼓风改造</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2,000,000.00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2,000,000.00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涉及政府补助的负债项目明细"/>
              <w:tag w:val="_GBC_57fa178d03fa46a3befea9bbb3ebc131"/>
              <w:id w:val="2515528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焦化废水生化处理系统升级改造工程</w:t>
                    </w:r>
                  </w:p>
                </w:tc>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880,000.00</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880,000.00</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80" w:hRule="atLeast"/>
              <w:jc w:val="center"/>
            </w:trPr>
            <w:sdt>
              <w:sdtPr>
                <w:rPr>
                  <w:sz w:val="18"/>
                  <w:szCs w:val="18"/>
                </w:rPr>
                <w:tag w:val="_PLD_2b5f6c779bfe41599ba2610b67ac1011"/>
                <w:id w:val="25155284"/>
                <w:lock w:val="sdtLocked"/>
              </w:sdtPr>
              <w:sdtEndPr>
                <w:rPr>
                  <w:sz w:val="18"/>
                  <w:szCs w:val="18"/>
                </w:rPr>
              </w:sdtEndPr>
              <w:sdtContent>
                <w:tc>
                  <w:tcPr>
                    <w:tcW w:w="3297"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合计</w:t>
                    </w:r>
                  </w:p>
                </w:tc>
              </w:sdtContent>
            </w:sdt>
            <w:tc>
              <w:tcPr>
                <w:tcW w:w="127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76,438,107.61</w:t>
                </w:r>
              </w:p>
            </w:tc>
            <w:tc>
              <w:tcPr>
                <w:tcW w:w="854"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4,779,202.12</w:t>
                </w:r>
              </w:p>
            </w:tc>
            <w:tc>
              <w:tcPr>
                <w:tcW w:w="840"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76"/>
                  <w:jc w:val="right"/>
                  <w:rPr>
                    <w:rFonts w:ascii="Arial Narrow" w:hAnsi="Arial Narrow"/>
                    <w:sz w:val="18"/>
                    <w:szCs w:val="18"/>
                  </w:rPr>
                </w:pPr>
                <w:r>
                  <w:rPr>
                    <w:rFonts w:ascii="Arial Narrow" w:hAnsi="Arial Narrow"/>
                    <w:sz w:val="18"/>
                    <w:szCs w:val="18"/>
                  </w:rPr>
                  <w:t>71,658,905.49</w:t>
                </w:r>
              </w:p>
            </w:tc>
            <w:tc>
              <w:tcPr>
                <w:tcW w:w="1202"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w:t>
                </w:r>
              </w:p>
            </w:tc>
          </w:tr>
        </w:tbl>
        <w:p>
          <w:pPr>
            <w:pStyle w:val="76"/>
          </w:pPr>
        </w:p>
      </w:sdtContent>
    </w:sdt>
    <w:p>
      <w:pPr>
        <w:pStyle w:val="90"/>
        <w:ind w:left="704" w:firstLine="0" w:firstLineChars="0"/>
        <w:rPr>
          <w:rFonts w:ascii="宋体" w:hAnsi="宋体"/>
          <w:szCs w:val="21"/>
        </w:rPr>
      </w:pPr>
    </w:p>
    <w:sdt>
      <w:sdtPr>
        <w:rPr>
          <w:rFonts w:hint="eastAsia"/>
          <w:szCs w:val="21"/>
        </w:rPr>
        <w:alias w:val="模块:递延收益其他说明"/>
        <w:tag w:val="_GBC_3e5bdbca1c524ed19d397da3dfaf83a9"/>
        <w:id w:val="25155287"/>
        <w:lock w:val="sdtLocked"/>
        <w:placeholder>
          <w:docPart w:val="GBC22222222222222222222222222222"/>
        </w:placeholder>
      </w:sdtPr>
      <w:sdtEndPr>
        <w:rPr>
          <w:rFonts w:hint="default"/>
          <w:szCs w:val="21"/>
        </w:rPr>
      </w:sdtEndPr>
      <w:sdtContent>
        <w:p>
          <w:pPr>
            <w:pStyle w:val="76"/>
            <w:spacing w:before="60" w:after="60"/>
            <w:rPr>
              <w:szCs w:val="21"/>
            </w:rPr>
          </w:pPr>
          <w:bookmarkStart w:id="58" w:name="OLE_LINK84"/>
          <w:bookmarkStart w:id="59" w:name="OLE_LINK85"/>
          <w:r>
            <w:rPr>
              <w:rFonts w:hint="eastAsia"/>
              <w:szCs w:val="21"/>
            </w:rPr>
            <w:t>其他说明：</w:t>
          </w:r>
        </w:p>
        <w:sdt>
          <w:sdtPr>
            <w:rPr>
              <w:szCs w:val="21"/>
            </w:rPr>
            <w:alias w:val="是否适用：递延收益的其他说明[双击切换]"/>
            <w:tag w:val="_GBC_da5e8f76ba934c9e8efb4ab4d41c9f8c"/>
            <w:id w:val="25155286"/>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58"/>
    <w:bookmarkEnd w:id="59"/>
    <w:p>
      <w:pPr>
        <w:pStyle w:val="76"/>
        <w:snapToGrid w:val="0"/>
        <w:spacing w:line="240" w:lineRule="atLeast"/>
        <w:rPr>
          <w:szCs w:val="21"/>
        </w:rPr>
      </w:pPr>
    </w:p>
    <w:sdt>
      <w:sdtPr>
        <w:rPr>
          <w:rFonts w:hint="eastAsia" w:ascii="宋体" w:hAnsi="宋体" w:cs="宋体"/>
          <w:b w:val="0"/>
          <w:bCs w:val="0"/>
          <w:kern w:val="0"/>
          <w:szCs w:val="21"/>
        </w:rPr>
        <w:alias w:val="模块:其他非流动负债"/>
        <w:tag w:val="_GBC_ebdcd37ba77540d78079b1e51c20b6ce"/>
        <w:id w:val="25155289"/>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其他非流动负债</w:t>
          </w:r>
        </w:p>
        <w:sdt>
          <w:sdtPr>
            <w:alias w:val="是否适用：其他非流动负债[双击切换]"/>
            <w:tag w:val="_GBC_bb8a5c7236564ec0823cbced5ea78e62"/>
            <w:id w:val="2515528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1"/>
        </w:rPr>
        <w:alias w:val="模块:股本"/>
        <w:tag w:val="_GBC_7f4b2f9bba854132af4bbd6504a10383"/>
        <w:id w:val="25155303"/>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股本</w:t>
          </w:r>
        </w:p>
        <w:sdt>
          <w:sdtPr>
            <w:alias w:val="是否适用：股本[双击切换]"/>
            <w:tag w:val="_GBC_a88b08589cbb4302b29839808faa8a3b"/>
            <w:id w:val="2515529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股本"/>
              <w:tag w:val="_GBC_cf915ea45a234de2a2455824dedc3c82"/>
              <w:id w:val="251552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251552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3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896"/>
            <w:gridCol w:w="813"/>
            <w:gridCol w:w="813"/>
            <w:gridCol w:w="884"/>
            <w:gridCol w:w="899"/>
            <w:gridCol w:w="877"/>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290" w:type="dxa"/>
                <w:vMerge w:val="restart"/>
                <w:tcBorders>
                  <w:top w:val="single" w:color="auto" w:sz="4" w:space="0"/>
                  <w:left w:val="single" w:color="auto" w:sz="4" w:space="0"/>
                  <w:bottom w:val="single" w:color="auto" w:sz="4" w:space="0"/>
                  <w:right w:val="single" w:color="auto" w:sz="4" w:space="0"/>
                </w:tcBorders>
              </w:tcPr>
              <w:p>
                <w:pPr>
                  <w:pStyle w:val="76"/>
                  <w:jc w:val="center"/>
                  <w:rPr>
                    <w:szCs w:val="21"/>
                  </w:rPr>
                </w:pPr>
              </w:p>
            </w:tc>
            <w:sdt>
              <w:sdtPr>
                <w:tag w:val="_PLD_7ad9a0911e364e48bc565dc3ed809692"/>
                <w:id w:val="25155293"/>
                <w:lock w:val="sdtLocked"/>
              </w:sdtPr>
              <w:sdtContent>
                <w:tc>
                  <w:tcPr>
                    <w:tcW w:w="1896" w:type="dxa"/>
                    <w:vMerge w:val="restart"/>
                    <w:tcBorders>
                      <w:top w:val="single" w:color="auto" w:sz="4" w:space="0"/>
                      <w:left w:val="single" w:color="auto" w:sz="4" w:space="0"/>
                      <w:right w:val="single" w:color="auto" w:sz="4" w:space="0"/>
                    </w:tcBorders>
                    <w:vAlign w:val="center"/>
                  </w:tcPr>
                  <w:p>
                    <w:pPr>
                      <w:pStyle w:val="76"/>
                      <w:jc w:val="center"/>
                      <w:rPr>
                        <w:szCs w:val="21"/>
                      </w:rPr>
                    </w:pPr>
                    <w:r>
                      <w:rPr>
                        <w:rFonts w:hint="eastAsia"/>
                        <w:szCs w:val="21"/>
                      </w:rPr>
                      <w:t>期初余额</w:t>
                    </w:r>
                  </w:p>
                </w:tc>
              </w:sdtContent>
            </w:sdt>
            <w:sdt>
              <w:sdtPr>
                <w:tag w:val="_PLD_33945fdb28e344edaa7d118a9aa07d7d"/>
                <w:id w:val="25155294"/>
                <w:lock w:val="sdtLocked"/>
              </w:sdtPr>
              <w:sdtContent>
                <w:tc>
                  <w:tcPr>
                    <w:tcW w:w="4286" w:type="dxa"/>
                    <w:gridSpan w:val="5"/>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本次变动增减（+、一）</w:t>
                    </w:r>
                  </w:p>
                </w:tc>
              </w:sdtContent>
            </w:sdt>
            <w:sdt>
              <w:sdtPr>
                <w:tag w:val="_PLD_a0390714e323429ab6e793f9a610df70"/>
                <w:id w:val="25155295"/>
                <w:lock w:val="sdtLocked"/>
              </w:sdtPr>
              <w:sdtContent>
                <w:tc>
                  <w:tcPr>
                    <w:tcW w:w="1896" w:type="dxa"/>
                    <w:vMerge w:val="restart"/>
                    <w:tcBorders>
                      <w:top w:val="single" w:color="auto" w:sz="4" w:space="0"/>
                      <w:left w:val="single" w:color="auto" w:sz="4" w:space="0"/>
                      <w:right w:val="single" w:color="auto" w:sz="4" w:space="0"/>
                    </w:tcBorders>
                    <w:vAlign w:val="center"/>
                  </w:tcPr>
                  <w:p>
                    <w:pPr>
                      <w:pStyle w:val="76"/>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290" w:type="dxa"/>
                <w:vMerge w:val="continue"/>
                <w:tcBorders>
                  <w:top w:val="single" w:color="auto" w:sz="4" w:space="0"/>
                  <w:left w:val="single" w:color="auto" w:sz="4" w:space="0"/>
                  <w:bottom w:val="single" w:color="auto" w:sz="4" w:space="0"/>
                  <w:right w:val="single" w:color="auto" w:sz="4" w:space="0"/>
                </w:tcBorders>
              </w:tcPr>
              <w:p>
                <w:pPr>
                  <w:pStyle w:val="76"/>
                  <w:rPr>
                    <w:szCs w:val="21"/>
                  </w:rPr>
                </w:pPr>
              </w:p>
            </w:tc>
            <w:tc>
              <w:tcPr>
                <w:tcW w:w="1896" w:type="dxa"/>
                <w:vMerge w:val="continue"/>
                <w:tcBorders>
                  <w:left w:val="single" w:color="auto" w:sz="4" w:space="0"/>
                  <w:bottom w:val="single" w:color="auto" w:sz="4" w:space="0"/>
                  <w:right w:val="single" w:color="auto" w:sz="4" w:space="0"/>
                </w:tcBorders>
              </w:tcPr>
              <w:p>
                <w:pPr>
                  <w:pStyle w:val="76"/>
                  <w:ind w:left="-250" w:leftChars="-119" w:firstLine="249" w:firstLineChars="119"/>
                  <w:rPr>
                    <w:szCs w:val="21"/>
                  </w:rPr>
                </w:pPr>
              </w:p>
            </w:tc>
            <w:sdt>
              <w:sdtPr>
                <w:tag w:val="_PLD_fe0b182c33854e5bb51d2d2a3cd1dd7f"/>
                <w:id w:val="25155296"/>
                <w:lock w:val="sdtLocked"/>
              </w:sdtPr>
              <w:sdtContent>
                <w:tc>
                  <w:tcPr>
                    <w:tcW w:w="813"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发行</w:t>
                    </w:r>
                  </w:p>
                  <w:p>
                    <w:pPr>
                      <w:pStyle w:val="76"/>
                      <w:jc w:val="center"/>
                      <w:rPr>
                        <w:szCs w:val="21"/>
                      </w:rPr>
                    </w:pPr>
                    <w:r>
                      <w:rPr>
                        <w:rFonts w:hint="eastAsia"/>
                        <w:szCs w:val="21"/>
                      </w:rPr>
                      <w:t>新股</w:t>
                    </w:r>
                  </w:p>
                </w:tc>
              </w:sdtContent>
            </w:sdt>
            <w:sdt>
              <w:sdtPr>
                <w:tag w:val="_PLD_80e7c94a1831488d89d22be722443897"/>
                <w:id w:val="25155297"/>
                <w:lock w:val="sdtLocked"/>
              </w:sdtPr>
              <w:sdtContent>
                <w:tc>
                  <w:tcPr>
                    <w:tcW w:w="813"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送股</w:t>
                    </w:r>
                  </w:p>
                </w:tc>
              </w:sdtContent>
            </w:sdt>
            <w:sdt>
              <w:sdtPr>
                <w:tag w:val="_PLD_c1d7f04883eb4aaa9c52067f145ec081"/>
                <w:id w:val="25155298"/>
                <w:lock w:val="sdtLocked"/>
              </w:sdtPr>
              <w:sdtContent>
                <w:tc>
                  <w:tcPr>
                    <w:tcW w:w="884"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公积金</w:t>
                    </w:r>
                  </w:p>
                  <w:p>
                    <w:pPr>
                      <w:pStyle w:val="76"/>
                      <w:jc w:val="center"/>
                      <w:rPr>
                        <w:szCs w:val="21"/>
                      </w:rPr>
                    </w:pPr>
                    <w:r>
                      <w:rPr>
                        <w:rFonts w:hint="eastAsia"/>
                        <w:szCs w:val="21"/>
                      </w:rPr>
                      <w:t>转股</w:t>
                    </w:r>
                  </w:p>
                </w:tc>
              </w:sdtContent>
            </w:sdt>
            <w:sdt>
              <w:sdtPr>
                <w:tag w:val="_PLD_6e44c9cf090243e19b20f1e88e8231ef"/>
                <w:id w:val="25155299"/>
                <w:lock w:val="sdtLocked"/>
              </w:sdtPr>
              <w:sdtContent>
                <w:tc>
                  <w:tcPr>
                    <w:tcW w:w="899"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其他</w:t>
                    </w:r>
                  </w:p>
                </w:tc>
              </w:sdtContent>
            </w:sdt>
            <w:sdt>
              <w:sdtPr>
                <w:tag w:val="_PLD_0cee72421f954c94ba296c709c84ef52"/>
                <w:id w:val="25155300"/>
                <w:lock w:val="sdtLocked"/>
              </w:sdtPr>
              <w:sdtContent>
                <w:tc>
                  <w:tcPr>
                    <w:tcW w:w="877"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小计</w:t>
                    </w:r>
                  </w:p>
                </w:tc>
              </w:sdtContent>
            </w:sdt>
            <w:tc>
              <w:tcPr>
                <w:tcW w:w="1896" w:type="dxa"/>
                <w:vMerge w:val="continue"/>
                <w:tcBorders>
                  <w:left w:val="single" w:color="auto" w:sz="4" w:space="0"/>
                  <w:bottom w:val="single" w:color="auto" w:sz="4" w:space="0"/>
                  <w:right w:val="single" w:color="auto" w:sz="4" w:space="0"/>
                </w:tcBorders>
              </w:tcPr>
              <w:p>
                <w:pPr>
                  <w:pStyle w:val="76"/>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0c4dca616a0e4126a03d9e8b2ef3c6bc"/>
                <w:id w:val="25155301"/>
                <w:lock w:val="sdtLocked"/>
              </w:sdtPr>
              <w:sdtContent>
                <w:tc>
                  <w:tcPr>
                    <w:tcW w:w="1290" w:type="dxa"/>
                    <w:tcBorders>
                      <w:top w:val="single" w:color="auto" w:sz="4" w:space="0"/>
                      <w:left w:val="single" w:color="auto" w:sz="4" w:space="0"/>
                      <w:bottom w:val="single" w:color="auto" w:sz="4" w:space="0"/>
                      <w:right w:val="single" w:color="auto" w:sz="4" w:space="0"/>
                    </w:tcBorders>
                  </w:tcPr>
                  <w:p>
                    <w:pPr>
                      <w:pStyle w:val="76"/>
                      <w:jc w:val="center"/>
                      <w:rPr>
                        <w:szCs w:val="21"/>
                      </w:rPr>
                    </w:pPr>
                    <w:r>
                      <w:rPr>
                        <w:rFonts w:hint="eastAsia"/>
                        <w:szCs w:val="21"/>
                      </w:rPr>
                      <w:t>股份总数</w:t>
                    </w:r>
                  </w:p>
                </w:tc>
              </w:sdtContent>
            </w:sdt>
            <w:tc>
              <w:tcPr>
                <w:tcW w:w="1896" w:type="dxa"/>
                <w:tcBorders>
                  <w:top w:val="single" w:color="auto" w:sz="4" w:space="0"/>
                  <w:left w:val="single" w:color="auto" w:sz="4" w:space="0"/>
                  <w:bottom w:val="single" w:color="auto" w:sz="4" w:space="0"/>
                  <w:right w:val="single" w:color="auto" w:sz="4" w:space="0"/>
                </w:tcBorders>
              </w:tcPr>
              <w:p>
                <w:pPr>
                  <w:pStyle w:val="76"/>
                  <w:jc w:val="right"/>
                  <w:rPr>
                    <w:szCs w:val="21"/>
                  </w:rPr>
                </w:pPr>
                <w:r>
                  <w:t>2,562,793,200.00</w:t>
                </w:r>
              </w:p>
            </w:tc>
            <w:tc>
              <w:tcPr>
                <w:tcW w:w="813"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813"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884"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899"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87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96" w:type="dxa"/>
                <w:tcBorders>
                  <w:top w:val="single" w:color="auto" w:sz="4" w:space="0"/>
                  <w:left w:val="single" w:color="auto" w:sz="4" w:space="0"/>
                  <w:bottom w:val="single" w:color="auto" w:sz="4" w:space="0"/>
                  <w:right w:val="single" w:color="auto" w:sz="4" w:space="0"/>
                </w:tcBorders>
              </w:tcPr>
              <w:p>
                <w:pPr>
                  <w:pStyle w:val="76"/>
                  <w:jc w:val="right"/>
                  <w:rPr>
                    <w:szCs w:val="21"/>
                  </w:rPr>
                </w:pPr>
                <w:r>
                  <w:t>2,562,793,200.00</w:t>
                </w:r>
              </w:p>
            </w:tc>
          </w:tr>
        </w:tbl>
        <w:p>
          <w:pPr>
            <w:pStyle w:val="76"/>
          </w:pPr>
        </w:p>
        <w:p>
          <w:pPr>
            <w:pStyle w:val="76"/>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cs="宋体"/>
          <w:bCs w:val="0"/>
          <w:kern w:val="0"/>
          <w:szCs w:val="21"/>
        </w:rPr>
        <w:t>其</w:t>
      </w:r>
      <w:r>
        <w:rPr>
          <w:rFonts w:hint="eastAsia" w:ascii="宋体" w:hAnsi="宋体"/>
          <w:szCs w:val="21"/>
        </w:rPr>
        <w:t>他权益工具</w:t>
      </w:r>
    </w:p>
    <w:sdt>
      <w:sdtPr>
        <w:rPr>
          <w:rFonts w:hint="eastAsia" w:ascii="宋体" w:hAnsi="宋体" w:cs="宋体"/>
          <w:b w:val="0"/>
          <w:bCs w:val="0"/>
          <w:kern w:val="0"/>
          <w:szCs w:val="24"/>
        </w:rPr>
        <w:alias w:val="模块:其他权益工具"/>
        <w:tag w:val="_GBC_4f862512b6914630932c1857df6db6e4"/>
        <w:id w:val="25155308"/>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71"/>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2515530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p>
          <w:pPr>
            <w:pStyle w:val="80"/>
            <w:numPr>
              <w:ilvl w:val="0"/>
              <w:numId w:val="71"/>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2515530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25155306"/>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p>
          <w:pPr>
            <w:pStyle w:val="76"/>
            <w:rPr>
              <w:szCs w:val="21"/>
            </w:rPr>
          </w:pPr>
          <w:r>
            <w:rPr>
              <w:rFonts w:hint="eastAsia"/>
              <w:szCs w:val="21"/>
            </w:rPr>
            <w:t>其他说明:</w:t>
          </w:r>
        </w:p>
        <w:sdt>
          <w:sdtPr>
            <w:rPr>
              <w:szCs w:val="21"/>
            </w:rPr>
            <w:alias w:val="是否适用：其他权益工具的其他说明[双击切换]"/>
            <w:tag w:val="_GBC_297d299126b041159b18d012f9a18c2e"/>
            <w:id w:val="25155307"/>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sdt>
      <w:sdtPr>
        <w:rPr>
          <w:rFonts w:hint="eastAsia" w:ascii="宋体" w:hAnsi="宋体" w:cs="宋体"/>
          <w:b w:val="0"/>
          <w:bCs w:val="0"/>
          <w:kern w:val="0"/>
          <w:szCs w:val="21"/>
        </w:rPr>
        <w:alias w:val="模块:资本公积"/>
        <w:tag w:val="_GBC_23fef1c643714b9f82710e33a1bef935"/>
        <w:id w:val="25155320"/>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资本公积</w:t>
          </w:r>
        </w:p>
        <w:sdt>
          <w:sdtPr>
            <w:alias w:val="是否适用：资本公积[双击切换]"/>
            <w:tag w:val="_GBC_70f32b67ce344a03adfc93d4ed72949a"/>
            <w:id w:val="2515530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资本公积"/>
              <w:tag w:val="_GBC_88633009fdc64f4e8238c38541b33615"/>
              <w:id w:val="251553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251553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39"/>
            <w:gridCol w:w="1843"/>
            <w:gridCol w:w="1418"/>
            <w:gridCol w:w="138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77c011500e64862903c4c16dbb2f31f"/>
                <w:id w:val="25155312"/>
                <w:lock w:val="sdtLocked"/>
              </w:sdtPr>
              <w:sdtContent>
                <w:tc>
                  <w:tcPr>
                    <w:tcW w:w="2439" w:type="dxa"/>
                    <w:vAlign w:val="center"/>
                  </w:tcPr>
                  <w:p>
                    <w:pPr>
                      <w:pStyle w:val="76"/>
                      <w:autoSpaceDE w:val="0"/>
                      <w:autoSpaceDN w:val="0"/>
                      <w:adjustRightInd w:val="0"/>
                      <w:snapToGrid w:val="0"/>
                      <w:jc w:val="center"/>
                      <w:rPr>
                        <w:szCs w:val="21"/>
                      </w:rPr>
                    </w:pPr>
                    <w:r>
                      <w:rPr>
                        <w:rFonts w:hint="eastAsia"/>
                        <w:szCs w:val="21"/>
                      </w:rPr>
                      <w:t>项目</w:t>
                    </w:r>
                  </w:p>
                </w:tc>
              </w:sdtContent>
            </w:sdt>
            <w:sdt>
              <w:sdtPr>
                <w:tag w:val="_PLD_1519f0add67f49df9173f37c00215eef"/>
                <w:id w:val="25155313"/>
                <w:lock w:val="sdtLocked"/>
              </w:sdtPr>
              <w:sdtContent>
                <w:tc>
                  <w:tcPr>
                    <w:tcW w:w="1843" w:type="dxa"/>
                    <w:vAlign w:val="center"/>
                  </w:tcPr>
                  <w:p>
                    <w:pPr>
                      <w:pStyle w:val="76"/>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25155314"/>
                <w:lock w:val="sdtLocked"/>
              </w:sdtPr>
              <w:sdtContent>
                <w:tc>
                  <w:tcPr>
                    <w:tcW w:w="1418" w:type="dxa"/>
                    <w:vAlign w:val="center"/>
                  </w:tcPr>
                  <w:p>
                    <w:pPr>
                      <w:pStyle w:val="76"/>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25155315"/>
                <w:lock w:val="sdtLocked"/>
              </w:sdtPr>
              <w:sdtContent>
                <w:tc>
                  <w:tcPr>
                    <w:tcW w:w="1389" w:type="dxa"/>
                    <w:vAlign w:val="center"/>
                  </w:tcPr>
                  <w:p>
                    <w:pPr>
                      <w:pStyle w:val="76"/>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25155316"/>
                <w:lock w:val="sdtLocked"/>
              </w:sdtPr>
              <w:sdtContent>
                <w:tc>
                  <w:tcPr>
                    <w:tcW w:w="1804" w:type="dxa"/>
                    <w:vAlign w:val="center"/>
                  </w:tcPr>
                  <w:p>
                    <w:pPr>
                      <w:pStyle w:val="76"/>
                      <w:autoSpaceDE w:val="0"/>
                      <w:autoSpaceDN w:val="0"/>
                      <w:adjustRightInd w:val="0"/>
                      <w:snapToGrid w:val="0"/>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6f0c6094ea774cff87e6eacd4eb8ba12"/>
                <w:id w:val="25155317"/>
                <w:lock w:val="sdtLocked"/>
              </w:sdtPr>
              <w:sdtContent>
                <w:tc>
                  <w:tcPr>
                    <w:tcW w:w="2439" w:type="dxa"/>
                    <w:shd w:val="clear" w:color="auto" w:fill="auto"/>
                  </w:tcPr>
                  <w:p>
                    <w:pPr>
                      <w:pStyle w:val="76"/>
                      <w:autoSpaceDE w:val="0"/>
                      <w:autoSpaceDN w:val="0"/>
                      <w:adjustRightInd w:val="0"/>
                      <w:snapToGrid w:val="0"/>
                      <w:rPr>
                        <w:szCs w:val="21"/>
                      </w:rPr>
                    </w:pPr>
                    <w:r>
                      <w:rPr>
                        <w:rFonts w:hint="eastAsia"/>
                        <w:szCs w:val="21"/>
                      </w:rPr>
                      <w:t>资本溢价（股本溢价）</w:t>
                    </w:r>
                  </w:p>
                </w:tc>
              </w:sdtContent>
            </w:sdt>
            <w:tc>
              <w:tcPr>
                <w:tcW w:w="1843" w:type="dxa"/>
                <w:shd w:val="clear" w:color="auto" w:fill="auto"/>
              </w:tcPr>
              <w:p>
                <w:pPr>
                  <w:pStyle w:val="76"/>
                  <w:autoSpaceDE w:val="0"/>
                  <w:autoSpaceDN w:val="0"/>
                  <w:adjustRightInd w:val="0"/>
                  <w:snapToGrid w:val="0"/>
                  <w:jc w:val="right"/>
                  <w:rPr>
                    <w:szCs w:val="21"/>
                  </w:rPr>
                </w:pPr>
                <w:r>
                  <w:t>187,489,607.10</w:t>
                </w:r>
              </w:p>
            </w:tc>
            <w:tc>
              <w:tcPr>
                <w:tcW w:w="1418" w:type="dxa"/>
                <w:shd w:val="clear" w:color="auto" w:fill="auto"/>
              </w:tcPr>
              <w:p>
                <w:pPr>
                  <w:pStyle w:val="76"/>
                  <w:autoSpaceDE w:val="0"/>
                  <w:autoSpaceDN w:val="0"/>
                  <w:adjustRightInd w:val="0"/>
                  <w:snapToGrid w:val="0"/>
                  <w:jc w:val="right"/>
                  <w:rPr>
                    <w:szCs w:val="21"/>
                  </w:rPr>
                </w:pPr>
              </w:p>
            </w:tc>
            <w:tc>
              <w:tcPr>
                <w:tcW w:w="1389" w:type="dxa"/>
                <w:shd w:val="clear" w:color="auto" w:fill="auto"/>
              </w:tcPr>
              <w:p>
                <w:pPr>
                  <w:pStyle w:val="76"/>
                  <w:autoSpaceDE w:val="0"/>
                  <w:autoSpaceDN w:val="0"/>
                  <w:adjustRightInd w:val="0"/>
                  <w:snapToGrid w:val="0"/>
                  <w:jc w:val="right"/>
                  <w:rPr>
                    <w:szCs w:val="21"/>
                  </w:rPr>
                </w:pPr>
              </w:p>
            </w:tc>
            <w:tc>
              <w:tcPr>
                <w:tcW w:w="1804" w:type="dxa"/>
                <w:shd w:val="clear" w:color="auto" w:fill="auto"/>
              </w:tcPr>
              <w:p>
                <w:pPr>
                  <w:pStyle w:val="76"/>
                  <w:autoSpaceDE w:val="0"/>
                  <w:autoSpaceDN w:val="0"/>
                  <w:adjustRightInd w:val="0"/>
                  <w:snapToGrid w:val="0"/>
                  <w:jc w:val="right"/>
                  <w:rPr>
                    <w:szCs w:val="21"/>
                  </w:rPr>
                </w:pPr>
                <w:r>
                  <w:t>187,489,607.10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d65c4a2c84c464d8e7b1cc66155d272"/>
                <w:id w:val="25155318"/>
                <w:lock w:val="sdtLocked"/>
              </w:sdtPr>
              <w:sdtContent>
                <w:tc>
                  <w:tcPr>
                    <w:tcW w:w="2439" w:type="dxa"/>
                    <w:shd w:val="clear" w:color="auto" w:fill="auto"/>
                  </w:tcPr>
                  <w:p>
                    <w:pPr>
                      <w:pStyle w:val="76"/>
                      <w:autoSpaceDE w:val="0"/>
                      <w:autoSpaceDN w:val="0"/>
                      <w:adjustRightInd w:val="0"/>
                      <w:snapToGrid w:val="0"/>
                      <w:rPr>
                        <w:szCs w:val="21"/>
                      </w:rPr>
                    </w:pPr>
                    <w:r>
                      <w:rPr>
                        <w:rFonts w:hint="eastAsia"/>
                        <w:szCs w:val="21"/>
                      </w:rPr>
                      <w:t>其他资本公积</w:t>
                    </w:r>
                  </w:p>
                </w:tc>
              </w:sdtContent>
            </w:sdt>
            <w:tc>
              <w:tcPr>
                <w:tcW w:w="1843" w:type="dxa"/>
                <w:shd w:val="clear" w:color="auto" w:fill="auto"/>
              </w:tcPr>
              <w:p>
                <w:pPr>
                  <w:pStyle w:val="76"/>
                  <w:autoSpaceDE w:val="0"/>
                  <w:autoSpaceDN w:val="0"/>
                  <w:adjustRightInd w:val="0"/>
                  <w:snapToGrid w:val="0"/>
                  <w:jc w:val="right"/>
                  <w:rPr>
                    <w:szCs w:val="21"/>
                  </w:rPr>
                </w:pPr>
                <w:r>
                  <w:t>20,946,561.98</w:t>
                </w:r>
              </w:p>
            </w:tc>
            <w:tc>
              <w:tcPr>
                <w:tcW w:w="1418" w:type="dxa"/>
                <w:shd w:val="clear" w:color="auto" w:fill="auto"/>
              </w:tcPr>
              <w:p>
                <w:pPr>
                  <w:pStyle w:val="76"/>
                  <w:autoSpaceDE w:val="0"/>
                  <w:autoSpaceDN w:val="0"/>
                  <w:adjustRightInd w:val="0"/>
                  <w:snapToGrid w:val="0"/>
                  <w:jc w:val="right"/>
                  <w:rPr>
                    <w:szCs w:val="21"/>
                  </w:rPr>
                </w:pPr>
              </w:p>
            </w:tc>
            <w:tc>
              <w:tcPr>
                <w:tcW w:w="1389" w:type="dxa"/>
                <w:shd w:val="clear" w:color="auto" w:fill="auto"/>
              </w:tcPr>
              <w:p>
                <w:pPr>
                  <w:pStyle w:val="76"/>
                  <w:autoSpaceDE w:val="0"/>
                  <w:autoSpaceDN w:val="0"/>
                  <w:adjustRightInd w:val="0"/>
                  <w:snapToGrid w:val="0"/>
                  <w:jc w:val="right"/>
                  <w:rPr>
                    <w:szCs w:val="21"/>
                  </w:rPr>
                </w:pPr>
              </w:p>
            </w:tc>
            <w:tc>
              <w:tcPr>
                <w:tcW w:w="1804" w:type="dxa"/>
                <w:shd w:val="clear" w:color="auto" w:fill="auto"/>
              </w:tcPr>
              <w:p>
                <w:pPr>
                  <w:pStyle w:val="76"/>
                  <w:autoSpaceDE w:val="0"/>
                  <w:autoSpaceDN w:val="0"/>
                  <w:adjustRightInd w:val="0"/>
                  <w:snapToGrid w:val="0"/>
                  <w:jc w:val="right"/>
                  <w:rPr>
                    <w:szCs w:val="21"/>
                  </w:rPr>
                </w:pPr>
                <w:r>
                  <w:t>20,946,561.98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2d6988ed902d4f2a9c423d885cfc336e"/>
                <w:id w:val="25155319"/>
                <w:lock w:val="sdtLocked"/>
              </w:sdtPr>
              <w:sdtContent>
                <w:tc>
                  <w:tcPr>
                    <w:tcW w:w="2439" w:type="dxa"/>
                    <w:vAlign w:val="center"/>
                  </w:tcPr>
                  <w:p>
                    <w:pPr>
                      <w:pStyle w:val="76"/>
                      <w:autoSpaceDE w:val="0"/>
                      <w:autoSpaceDN w:val="0"/>
                      <w:adjustRightInd w:val="0"/>
                      <w:snapToGrid w:val="0"/>
                      <w:jc w:val="center"/>
                      <w:rPr>
                        <w:szCs w:val="21"/>
                      </w:rPr>
                    </w:pPr>
                    <w:r>
                      <w:rPr>
                        <w:rFonts w:hint="eastAsia"/>
                        <w:szCs w:val="21"/>
                      </w:rPr>
                      <w:t>合计</w:t>
                    </w:r>
                  </w:p>
                </w:tc>
              </w:sdtContent>
            </w:sdt>
            <w:tc>
              <w:tcPr>
                <w:tcW w:w="1843" w:type="dxa"/>
              </w:tcPr>
              <w:p>
                <w:pPr>
                  <w:pStyle w:val="76"/>
                  <w:autoSpaceDE w:val="0"/>
                  <w:autoSpaceDN w:val="0"/>
                  <w:adjustRightInd w:val="0"/>
                  <w:snapToGrid w:val="0"/>
                  <w:jc w:val="right"/>
                  <w:rPr>
                    <w:szCs w:val="21"/>
                  </w:rPr>
                </w:pPr>
                <w:r>
                  <w:t>208,436,169.08</w:t>
                </w:r>
              </w:p>
            </w:tc>
            <w:tc>
              <w:tcPr>
                <w:tcW w:w="1418" w:type="dxa"/>
              </w:tcPr>
              <w:p>
                <w:pPr>
                  <w:pStyle w:val="76"/>
                  <w:autoSpaceDE w:val="0"/>
                  <w:autoSpaceDN w:val="0"/>
                  <w:adjustRightInd w:val="0"/>
                  <w:snapToGrid w:val="0"/>
                  <w:jc w:val="right"/>
                  <w:rPr>
                    <w:szCs w:val="21"/>
                  </w:rPr>
                </w:pPr>
              </w:p>
            </w:tc>
            <w:tc>
              <w:tcPr>
                <w:tcW w:w="1389" w:type="dxa"/>
              </w:tcPr>
              <w:p>
                <w:pPr>
                  <w:pStyle w:val="76"/>
                  <w:autoSpaceDE w:val="0"/>
                  <w:autoSpaceDN w:val="0"/>
                  <w:adjustRightInd w:val="0"/>
                  <w:snapToGrid w:val="0"/>
                  <w:jc w:val="right"/>
                  <w:rPr>
                    <w:szCs w:val="21"/>
                  </w:rPr>
                </w:pPr>
              </w:p>
            </w:tc>
            <w:tc>
              <w:tcPr>
                <w:tcW w:w="1804" w:type="dxa"/>
              </w:tcPr>
              <w:p>
                <w:pPr>
                  <w:pStyle w:val="76"/>
                  <w:autoSpaceDE w:val="0"/>
                  <w:autoSpaceDN w:val="0"/>
                  <w:adjustRightInd w:val="0"/>
                  <w:snapToGrid w:val="0"/>
                  <w:jc w:val="right"/>
                  <w:rPr>
                    <w:szCs w:val="21"/>
                  </w:rPr>
                </w:pPr>
                <w:r>
                  <w:t>208,436,169.08</w:t>
                </w:r>
              </w:p>
            </w:tc>
          </w:tr>
        </w:tbl>
        <w:p>
          <w:pPr>
            <w:pStyle w:val="76"/>
          </w:pPr>
        </w:p>
      </w:sdtContent>
    </w:sdt>
    <w:p>
      <w:pPr>
        <w:pStyle w:val="76"/>
        <w:rPr>
          <w:szCs w:val="21"/>
        </w:rPr>
      </w:pPr>
    </w:p>
    <w:sdt>
      <w:sdtPr>
        <w:rPr>
          <w:rFonts w:hint="eastAsia" w:ascii="宋体" w:hAnsi="宋体" w:cs="宋体"/>
          <w:b w:val="0"/>
          <w:bCs w:val="0"/>
          <w:kern w:val="0"/>
          <w:szCs w:val="21"/>
        </w:rPr>
        <w:alias w:val="模块:库存股"/>
        <w:tag w:val="_GBC_02198eb4b89045c5af2f3bcd240e18af"/>
        <w:id w:val="25155322"/>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库存股</w:t>
          </w:r>
        </w:p>
        <w:sdt>
          <w:sdtPr>
            <w:alias w:val="是否适用：库存股[双击切换]"/>
            <w:tag w:val="_GBC_4aa47a6d9b1044aa8a049146d42c3e9c"/>
            <w:id w:val="2515532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b/>
              <w:szCs w:val="21"/>
            </w:rPr>
          </w:pPr>
        </w:p>
      </w:sdtContent>
    </w:sdt>
    <w:p>
      <w:pPr>
        <w:pStyle w:val="76"/>
        <w:rPr>
          <w:szCs w:val="21"/>
        </w:rPr>
      </w:pPr>
    </w:p>
    <w:sdt>
      <w:sdtPr>
        <w:rPr>
          <w:rFonts w:hint="eastAsia" w:ascii="宋体" w:hAnsi="宋体" w:cs="宋体"/>
          <w:b w:val="0"/>
          <w:bCs w:val="0"/>
          <w:kern w:val="0"/>
          <w:szCs w:val="21"/>
        </w:rPr>
        <w:alias w:val="模块:其他综合收益"/>
        <w:tag w:val="_GBC_de162f89125c4dc8abd2331e6cce7184"/>
        <w:id w:val="2515532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其他综合收益</w:t>
          </w:r>
        </w:p>
        <w:sdt>
          <w:sdtPr>
            <w:alias w:val="是否适用：其他综合收益[双击切换]"/>
            <w:tag w:val="_GBC_a53cc67f2be24dfbbe3af1b633d9bd6d"/>
            <w:id w:val="2515532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1"/>
        </w:rPr>
        <w:alias w:val="模块:专项储备"/>
        <w:tag w:val="_GBC_8a08fa7a416e4e52a104ea9b06479f9e"/>
        <w:id w:val="25155336"/>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专项储备</w:t>
          </w:r>
        </w:p>
        <w:sdt>
          <w:sdtPr>
            <w:alias w:val="是否适用：专项储备[双击切换]"/>
            <w:tag w:val="_GBC_291ec3c1c38144a3ac0bde67edb318cc"/>
            <w:id w:val="2515532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专项储备"/>
              <w:tag w:val="_GBC_98a0a00169d7461b91b431ef8a517eb1"/>
              <w:id w:val="251553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专项储备"/>
              <w:tag w:val="_GBC_95059903151b47a0a2c8b7569f80df5e"/>
              <w:id w:val="25155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681"/>
            <w:gridCol w:w="1789"/>
            <w:gridCol w:w="1789"/>
            <w:gridCol w:w="183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0185f3f00484e34ab2fc5b633938a01"/>
                <w:id w:val="25155328"/>
                <w:lock w:val="sdtLocked"/>
              </w:sdtPr>
              <w:sdtContent>
                <w:tc>
                  <w:tcPr>
                    <w:tcW w:w="1681" w:type="dxa"/>
                    <w:shd w:val="clear" w:color="auto" w:fill="auto"/>
                    <w:vAlign w:val="center"/>
                  </w:tcPr>
                  <w:p>
                    <w:pPr>
                      <w:pStyle w:val="76"/>
                      <w:jc w:val="center"/>
                      <w:rPr>
                        <w:szCs w:val="21"/>
                      </w:rPr>
                    </w:pPr>
                    <w:r>
                      <w:rPr>
                        <w:rFonts w:hint="eastAsia"/>
                        <w:szCs w:val="21"/>
                      </w:rPr>
                      <w:t>项目</w:t>
                    </w:r>
                  </w:p>
                </w:tc>
              </w:sdtContent>
            </w:sdt>
            <w:sdt>
              <w:sdtPr>
                <w:tag w:val="_PLD_3a7d7c052d7c403a8ae004d68db8fa4c"/>
                <w:id w:val="25155329"/>
                <w:lock w:val="sdtLocked"/>
              </w:sdtPr>
              <w:sdtContent>
                <w:tc>
                  <w:tcPr>
                    <w:tcW w:w="1789" w:type="dxa"/>
                    <w:shd w:val="clear" w:color="auto" w:fill="auto"/>
                    <w:vAlign w:val="center"/>
                  </w:tcPr>
                  <w:p>
                    <w:pPr>
                      <w:pStyle w:val="76"/>
                      <w:jc w:val="center"/>
                      <w:rPr>
                        <w:szCs w:val="21"/>
                      </w:rPr>
                    </w:pPr>
                    <w:r>
                      <w:rPr>
                        <w:rFonts w:hint="eastAsia"/>
                        <w:szCs w:val="21"/>
                      </w:rPr>
                      <w:t>期初余额</w:t>
                    </w:r>
                  </w:p>
                </w:tc>
              </w:sdtContent>
            </w:sdt>
            <w:sdt>
              <w:sdtPr>
                <w:tag w:val="_PLD_e06fab4ca3b8451eb31df81e9b4922ec"/>
                <w:id w:val="25155330"/>
                <w:lock w:val="sdtLocked"/>
              </w:sdtPr>
              <w:sdtContent>
                <w:tc>
                  <w:tcPr>
                    <w:tcW w:w="1789" w:type="dxa"/>
                    <w:shd w:val="clear" w:color="auto" w:fill="auto"/>
                    <w:vAlign w:val="center"/>
                  </w:tcPr>
                  <w:p>
                    <w:pPr>
                      <w:pStyle w:val="76"/>
                      <w:jc w:val="center"/>
                      <w:rPr>
                        <w:szCs w:val="21"/>
                      </w:rPr>
                    </w:pPr>
                    <w:r>
                      <w:rPr>
                        <w:rFonts w:hint="eastAsia"/>
                        <w:szCs w:val="21"/>
                      </w:rPr>
                      <w:t>本期增加</w:t>
                    </w:r>
                  </w:p>
                </w:tc>
              </w:sdtContent>
            </w:sdt>
            <w:sdt>
              <w:sdtPr>
                <w:tag w:val="_PLD_2900f17d2ba041e9a7331e5ca367f7b9"/>
                <w:id w:val="25155331"/>
                <w:lock w:val="sdtLocked"/>
              </w:sdtPr>
              <w:sdtContent>
                <w:tc>
                  <w:tcPr>
                    <w:tcW w:w="1830" w:type="dxa"/>
                    <w:shd w:val="clear" w:color="auto" w:fill="auto"/>
                    <w:vAlign w:val="center"/>
                  </w:tcPr>
                  <w:p>
                    <w:pPr>
                      <w:pStyle w:val="76"/>
                      <w:jc w:val="center"/>
                      <w:rPr>
                        <w:szCs w:val="21"/>
                      </w:rPr>
                    </w:pPr>
                    <w:r>
                      <w:rPr>
                        <w:rFonts w:hint="eastAsia"/>
                        <w:szCs w:val="21"/>
                      </w:rPr>
                      <w:t>本期减少</w:t>
                    </w:r>
                  </w:p>
                </w:tc>
              </w:sdtContent>
            </w:sdt>
            <w:sdt>
              <w:sdtPr>
                <w:tag w:val="_PLD_7fcbcb783b95484a87e1a335f06dfcc3"/>
                <w:id w:val="25155332"/>
                <w:lock w:val="sdtLocked"/>
              </w:sdtPr>
              <w:sdtContent>
                <w:tc>
                  <w:tcPr>
                    <w:tcW w:w="1804" w:type="dxa"/>
                    <w:shd w:val="clear" w:color="auto" w:fill="auto"/>
                    <w:vAlign w:val="center"/>
                  </w:tcPr>
                  <w:p>
                    <w:pPr>
                      <w:pStyle w:val="76"/>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928310ca4874f07bdca7291bba391b0"/>
                <w:id w:val="25155333"/>
                <w:lock w:val="sdtLocked"/>
              </w:sdtPr>
              <w:sdtContent>
                <w:tc>
                  <w:tcPr>
                    <w:tcW w:w="1681" w:type="dxa"/>
                    <w:shd w:val="clear" w:color="auto" w:fill="auto"/>
                  </w:tcPr>
                  <w:p>
                    <w:pPr>
                      <w:pStyle w:val="76"/>
                      <w:rPr>
                        <w:szCs w:val="21"/>
                      </w:rPr>
                    </w:pPr>
                    <w:r>
                      <w:rPr>
                        <w:rFonts w:hint="eastAsia"/>
                        <w:szCs w:val="21"/>
                      </w:rPr>
                      <w:t>安全生产费</w:t>
                    </w:r>
                  </w:p>
                </w:tc>
              </w:sdtContent>
            </w:sdt>
            <w:tc>
              <w:tcPr>
                <w:tcW w:w="1789" w:type="dxa"/>
                <w:shd w:val="clear" w:color="auto" w:fill="auto"/>
              </w:tcPr>
              <w:p>
                <w:pPr>
                  <w:pStyle w:val="76"/>
                  <w:jc w:val="right"/>
                  <w:rPr>
                    <w:szCs w:val="21"/>
                  </w:rPr>
                </w:pPr>
                <w:r>
                  <w:t>1,103,989.99</w:t>
                </w:r>
              </w:p>
            </w:tc>
            <w:tc>
              <w:tcPr>
                <w:tcW w:w="1789" w:type="dxa"/>
                <w:shd w:val="clear" w:color="auto" w:fill="auto"/>
              </w:tcPr>
              <w:p>
                <w:pPr>
                  <w:pStyle w:val="76"/>
                  <w:jc w:val="right"/>
                  <w:rPr>
                    <w:szCs w:val="21"/>
                  </w:rPr>
                </w:pPr>
                <w:r>
                  <w:t>17,465,000.02</w:t>
                </w:r>
              </w:p>
            </w:tc>
            <w:tc>
              <w:tcPr>
                <w:tcW w:w="1830" w:type="dxa"/>
                <w:shd w:val="clear" w:color="auto" w:fill="auto"/>
              </w:tcPr>
              <w:p>
                <w:pPr>
                  <w:pStyle w:val="76"/>
                  <w:jc w:val="right"/>
                  <w:rPr>
                    <w:szCs w:val="21"/>
                  </w:rPr>
                </w:pPr>
                <w:r>
                  <w:t>14,210,889.76</w:t>
                </w:r>
              </w:p>
            </w:tc>
            <w:tc>
              <w:tcPr>
                <w:tcW w:w="1804" w:type="dxa"/>
                <w:shd w:val="clear" w:color="auto" w:fill="auto"/>
              </w:tcPr>
              <w:p>
                <w:pPr>
                  <w:pStyle w:val="76"/>
                  <w:jc w:val="right"/>
                  <w:rPr>
                    <w:szCs w:val="21"/>
                  </w:rPr>
                </w:pPr>
                <w:r>
                  <w:t>4,358,100.25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3a889f9961a349319c123f6dc0197cb7"/>
                <w:id w:val="25155334"/>
                <w:lock w:val="sdtLocked"/>
              </w:sdtPr>
              <w:sdtContent>
                <w:tc>
                  <w:tcPr>
                    <w:tcW w:w="1681" w:type="dxa"/>
                    <w:shd w:val="clear" w:color="auto" w:fill="auto"/>
                    <w:vAlign w:val="center"/>
                  </w:tcPr>
                  <w:p>
                    <w:pPr>
                      <w:pStyle w:val="76"/>
                      <w:jc w:val="center"/>
                      <w:rPr>
                        <w:szCs w:val="21"/>
                      </w:rPr>
                    </w:pPr>
                    <w:r>
                      <w:rPr>
                        <w:rFonts w:hint="eastAsia"/>
                        <w:szCs w:val="21"/>
                      </w:rPr>
                      <w:t>合计</w:t>
                    </w:r>
                  </w:p>
                </w:tc>
              </w:sdtContent>
            </w:sdt>
            <w:tc>
              <w:tcPr>
                <w:tcW w:w="1789" w:type="dxa"/>
                <w:shd w:val="clear" w:color="auto" w:fill="auto"/>
              </w:tcPr>
              <w:p>
                <w:pPr>
                  <w:pStyle w:val="76"/>
                  <w:jc w:val="right"/>
                  <w:rPr>
                    <w:szCs w:val="21"/>
                  </w:rPr>
                </w:pPr>
                <w:r>
                  <w:t>1,103,989.99</w:t>
                </w:r>
              </w:p>
            </w:tc>
            <w:tc>
              <w:tcPr>
                <w:tcW w:w="1789" w:type="dxa"/>
                <w:shd w:val="clear" w:color="auto" w:fill="auto"/>
              </w:tcPr>
              <w:p>
                <w:pPr>
                  <w:pStyle w:val="76"/>
                  <w:jc w:val="right"/>
                  <w:rPr>
                    <w:szCs w:val="21"/>
                  </w:rPr>
                </w:pPr>
                <w:r>
                  <w:t>17,465,000.02</w:t>
                </w:r>
              </w:p>
            </w:tc>
            <w:tc>
              <w:tcPr>
                <w:tcW w:w="1830" w:type="dxa"/>
                <w:shd w:val="clear" w:color="auto" w:fill="auto"/>
              </w:tcPr>
              <w:p>
                <w:pPr>
                  <w:pStyle w:val="76"/>
                  <w:jc w:val="right"/>
                  <w:rPr>
                    <w:szCs w:val="21"/>
                  </w:rPr>
                </w:pPr>
                <w:r>
                  <w:t>14,210,889.76</w:t>
                </w:r>
              </w:p>
            </w:tc>
            <w:tc>
              <w:tcPr>
                <w:tcW w:w="1804" w:type="dxa"/>
                <w:shd w:val="clear" w:color="auto" w:fill="auto"/>
              </w:tcPr>
              <w:p>
                <w:pPr>
                  <w:pStyle w:val="76"/>
                  <w:jc w:val="right"/>
                  <w:rPr>
                    <w:szCs w:val="21"/>
                  </w:rPr>
                </w:pPr>
                <w:r>
                  <w:t>4,358,100.25</w:t>
                </w:r>
              </w:p>
            </w:tc>
          </w:tr>
        </w:tbl>
        <w:p>
          <w:pPr>
            <w:pStyle w:val="76"/>
          </w:pPr>
        </w:p>
        <w:p>
          <w:pPr>
            <w:pStyle w:val="76"/>
            <w:rPr>
              <w:szCs w:val="21"/>
            </w:rPr>
          </w:pPr>
          <w:r>
            <w:rPr>
              <w:rFonts w:hint="eastAsia"/>
              <w:szCs w:val="21"/>
            </w:rPr>
            <w:t>其他说明，包括本期增减变动情况、变动原因说明：</w:t>
          </w:r>
        </w:p>
        <w:p>
          <w:pPr>
            <w:pStyle w:val="76"/>
            <w:rPr>
              <w:szCs w:val="21"/>
            </w:rPr>
          </w:pPr>
          <w:sdt>
            <w:sdtPr>
              <w:rPr>
                <w:szCs w:val="21"/>
              </w:rPr>
              <w:alias w:val="专项储备情况说明"/>
              <w:tag w:val="_GBC_758f99495b434b96aea70b74014caac7"/>
              <w:id w:val="25155335"/>
              <w:lock w:val="sdtLocked"/>
              <w:placeholder>
                <w:docPart w:val="GBC22222222222222222222222222222"/>
              </w:placeholder>
            </w:sdtPr>
            <w:sdtEndPr>
              <w:rPr>
                <w:szCs w:val="21"/>
              </w:rPr>
            </w:sdtEndPr>
            <w:sdtContent>
              <w:r>
                <w:rPr>
                  <w:rFonts w:hint="eastAsia"/>
                  <w:szCs w:val="21"/>
                </w:rPr>
                <w:t>公司本报告期按规定计提安全生产费1746.5</w:t>
              </w:r>
              <w:r>
                <w:rPr>
                  <w:szCs w:val="21"/>
                </w:rPr>
                <w:t>万元，实际使用</w:t>
              </w:r>
              <w:r>
                <w:rPr>
                  <w:rFonts w:hint="eastAsia"/>
                  <w:szCs w:val="21"/>
                </w:rPr>
                <w:t>1421.09</w:t>
              </w:r>
              <w:r>
                <w:rPr>
                  <w:szCs w:val="21"/>
                </w:rPr>
                <w:t>万元，结余</w:t>
              </w:r>
              <w:r>
                <w:rPr>
                  <w:rFonts w:hint="eastAsia"/>
                  <w:szCs w:val="21"/>
                </w:rPr>
                <w:t>435.81</w:t>
              </w:r>
              <w:r>
                <w:rPr>
                  <w:szCs w:val="21"/>
                </w:rPr>
                <w:t>万元。</w:t>
              </w:r>
            </w:sdtContent>
          </w:sdt>
        </w:p>
      </w:sdtContent>
    </w:sdt>
    <w:p>
      <w:pPr>
        <w:pStyle w:val="76"/>
        <w:rPr>
          <w:szCs w:val="21"/>
        </w:rPr>
      </w:pPr>
    </w:p>
    <w:sdt>
      <w:sdtPr>
        <w:rPr>
          <w:rFonts w:hint="eastAsia" w:ascii="宋体" w:hAnsi="宋体" w:cs="宋体"/>
          <w:b w:val="0"/>
          <w:bCs w:val="0"/>
          <w:kern w:val="0"/>
          <w:szCs w:val="21"/>
        </w:rPr>
        <w:alias w:val="模块:盈余公积"/>
        <w:tag w:val="_GBC_fc97b66d150f4d31ba9096ec58341715"/>
        <w:id w:val="25155351"/>
        <w:lock w:val="sdtLocked"/>
        <w:placeholder>
          <w:docPart w:val="GBC22222222222222222222222222222"/>
        </w:placeholder>
      </w:sdtPr>
      <w:sdtEndPr>
        <w:rPr>
          <w:rFonts w:hint="default"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盈余公积</w:t>
          </w:r>
        </w:p>
        <w:sdt>
          <w:sdtPr>
            <w:alias w:val="是否适用：盈余公积[双击切换]"/>
            <w:tag w:val="_GBC_52b9917fb423490bb32a9d6648a07db9"/>
            <w:id w:val="2515533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盈余公积"/>
              <w:tag w:val="_GBC_ea3204141ce3498eaccd14c833f64973"/>
              <w:id w:val="251553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25155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92"/>
            <w:gridCol w:w="1920"/>
            <w:gridCol w:w="1724"/>
            <w:gridCol w:w="173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0f0cea3df9b4646bf8f9454719b4599"/>
                <w:id w:val="25155340"/>
                <w:lock w:val="sdtLocked"/>
              </w:sdtPr>
              <w:sdtContent>
                <w:tc>
                  <w:tcPr>
                    <w:tcW w:w="1592" w:type="dxa"/>
                  </w:tcPr>
                  <w:p>
                    <w:pPr>
                      <w:pStyle w:val="76"/>
                      <w:autoSpaceDE w:val="0"/>
                      <w:autoSpaceDN w:val="0"/>
                      <w:adjustRightInd w:val="0"/>
                      <w:snapToGrid w:val="0"/>
                      <w:jc w:val="center"/>
                      <w:rPr>
                        <w:szCs w:val="21"/>
                      </w:rPr>
                    </w:pPr>
                    <w:r>
                      <w:rPr>
                        <w:rFonts w:hint="eastAsia"/>
                        <w:szCs w:val="21"/>
                      </w:rPr>
                      <w:t>项目</w:t>
                    </w:r>
                  </w:p>
                </w:tc>
              </w:sdtContent>
            </w:sdt>
            <w:sdt>
              <w:sdtPr>
                <w:tag w:val="_PLD_5466d5e3c2b64aeb9abc2e1a21f2e6c0"/>
                <w:id w:val="25155341"/>
                <w:lock w:val="sdtLocked"/>
              </w:sdtPr>
              <w:sdtContent>
                <w:tc>
                  <w:tcPr>
                    <w:tcW w:w="1920" w:type="dxa"/>
                  </w:tcPr>
                  <w:p>
                    <w:pPr>
                      <w:pStyle w:val="76"/>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25155342"/>
                <w:lock w:val="sdtLocked"/>
              </w:sdtPr>
              <w:sdtContent>
                <w:tc>
                  <w:tcPr>
                    <w:tcW w:w="1724" w:type="dxa"/>
                  </w:tcPr>
                  <w:p>
                    <w:pPr>
                      <w:pStyle w:val="76"/>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25155343"/>
                <w:lock w:val="sdtLocked"/>
              </w:sdtPr>
              <w:sdtContent>
                <w:tc>
                  <w:tcPr>
                    <w:tcW w:w="1737" w:type="dxa"/>
                  </w:tcPr>
                  <w:p>
                    <w:pPr>
                      <w:pStyle w:val="76"/>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25155344"/>
                <w:lock w:val="sdtLocked"/>
              </w:sdtPr>
              <w:sdtContent>
                <w:tc>
                  <w:tcPr>
                    <w:tcW w:w="1920" w:type="dxa"/>
                  </w:tcPr>
                  <w:p>
                    <w:pPr>
                      <w:pStyle w:val="76"/>
                      <w:autoSpaceDE w:val="0"/>
                      <w:autoSpaceDN w:val="0"/>
                      <w:adjustRightInd w:val="0"/>
                      <w:snapToGrid w:val="0"/>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c05a7682db944fc88b1d5bf0888fab6"/>
                <w:id w:val="25155345"/>
                <w:lock w:val="sdtLocked"/>
              </w:sdtPr>
              <w:sdtContent>
                <w:tc>
                  <w:tcPr>
                    <w:tcW w:w="1592" w:type="dxa"/>
                    <w:shd w:val="clear" w:color="auto" w:fill="auto"/>
                    <w:vAlign w:val="center"/>
                  </w:tcPr>
                  <w:p>
                    <w:pPr>
                      <w:pStyle w:val="76"/>
                      <w:autoSpaceDE w:val="0"/>
                      <w:autoSpaceDN w:val="0"/>
                      <w:adjustRightInd w:val="0"/>
                      <w:snapToGrid w:val="0"/>
                      <w:rPr>
                        <w:szCs w:val="21"/>
                      </w:rPr>
                    </w:pPr>
                    <w:r>
                      <w:rPr>
                        <w:rFonts w:hint="eastAsia"/>
                        <w:szCs w:val="21"/>
                      </w:rPr>
                      <w:t>法定盈余公积</w:t>
                    </w:r>
                  </w:p>
                </w:tc>
              </w:sdtContent>
            </w:sdt>
            <w:tc>
              <w:tcPr>
                <w:tcW w:w="1920" w:type="dxa"/>
                <w:shd w:val="clear" w:color="auto" w:fill="auto"/>
              </w:tcPr>
              <w:p>
                <w:pPr>
                  <w:pStyle w:val="76"/>
                  <w:autoSpaceDE w:val="0"/>
                  <w:autoSpaceDN w:val="0"/>
                  <w:adjustRightInd w:val="0"/>
                  <w:snapToGrid w:val="0"/>
                  <w:ind w:right="180"/>
                  <w:jc w:val="right"/>
                  <w:rPr>
                    <w:szCs w:val="21"/>
                  </w:rPr>
                </w:pPr>
                <w:r>
                  <w:t>831,852,251.04</w:t>
                </w:r>
              </w:p>
            </w:tc>
            <w:tc>
              <w:tcPr>
                <w:tcW w:w="1724" w:type="dxa"/>
                <w:shd w:val="clear" w:color="auto" w:fill="auto"/>
              </w:tcPr>
              <w:p>
                <w:pPr>
                  <w:pStyle w:val="76"/>
                  <w:autoSpaceDE w:val="0"/>
                  <w:autoSpaceDN w:val="0"/>
                  <w:adjustRightInd w:val="0"/>
                  <w:snapToGrid w:val="0"/>
                  <w:ind w:right="180"/>
                  <w:jc w:val="right"/>
                  <w:rPr>
                    <w:szCs w:val="21"/>
                  </w:rPr>
                </w:pPr>
              </w:p>
            </w:tc>
            <w:tc>
              <w:tcPr>
                <w:tcW w:w="1737" w:type="dxa"/>
                <w:shd w:val="clear" w:color="auto" w:fill="auto"/>
              </w:tcPr>
              <w:p>
                <w:pPr>
                  <w:pStyle w:val="76"/>
                  <w:autoSpaceDE w:val="0"/>
                  <w:autoSpaceDN w:val="0"/>
                  <w:adjustRightInd w:val="0"/>
                  <w:snapToGrid w:val="0"/>
                  <w:ind w:right="180"/>
                  <w:jc w:val="right"/>
                  <w:rPr>
                    <w:szCs w:val="21"/>
                  </w:rPr>
                </w:pPr>
              </w:p>
            </w:tc>
            <w:tc>
              <w:tcPr>
                <w:tcW w:w="1920" w:type="dxa"/>
                <w:shd w:val="clear" w:color="auto" w:fill="auto"/>
              </w:tcPr>
              <w:p>
                <w:pPr>
                  <w:pStyle w:val="76"/>
                  <w:autoSpaceDE w:val="0"/>
                  <w:autoSpaceDN w:val="0"/>
                  <w:adjustRightInd w:val="0"/>
                  <w:snapToGrid w:val="0"/>
                  <w:ind w:right="180"/>
                  <w:jc w:val="right"/>
                  <w:rPr>
                    <w:szCs w:val="21"/>
                  </w:rPr>
                </w:pPr>
                <w:r>
                  <w:t>831,852,251.04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d129220e9acf4011b78a05d75624a2b7"/>
                <w:id w:val="25155346"/>
                <w:lock w:val="sdtLocked"/>
              </w:sdtPr>
              <w:sdtContent>
                <w:tc>
                  <w:tcPr>
                    <w:tcW w:w="1592" w:type="dxa"/>
                    <w:shd w:val="clear" w:color="auto" w:fill="auto"/>
                    <w:vAlign w:val="center"/>
                  </w:tcPr>
                  <w:p>
                    <w:pPr>
                      <w:pStyle w:val="76"/>
                      <w:autoSpaceDE w:val="0"/>
                      <w:autoSpaceDN w:val="0"/>
                      <w:adjustRightInd w:val="0"/>
                      <w:snapToGrid w:val="0"/>
                      <w:rPr>
                        <w:szCs w:val="21"/>
                      </w:rPr>
                    </w:pPr>
                    <w:r>
                      <w:rPr>
                        <w:rFonts w:hint="eastAsia"/>
                        <w:szCs w:val="21"/>
                      </w:rPr>
                      <w:t>任意盈余公积</w:t>
                    </w:r>
                  </w:p>
                </w:tc>
              </w:sdtContent>
            </w:sdt>
            <w:tc>
              <w:tcPr>
                <w:tcW w:w="1920" w:type="dxa"/>
                <w:shd w:val="clear" w:color="auto" w:fill="auto"/>
              </w:tcPr>
              <w:p>
                <w:pPr>
                  <w:pStyle w:val="76"/>
                  <w:autoSpaceDE w:val="0"/>
                  <w:autoSpaceDN w:val="0"/>
                  <w:adjustRightInd w:val="0"/>
                  <w:snapToGrid w:val="0"/>
                  <w:ind w:right="180"/>
                  <w:jc w:val="right"/>
                  <w:rPr>
                    <w:szCs w:val="21"/>
                  </w:rPr>
                </w:pPr>
                <w:r>
                  <w:t>405,207,071.51</w:t>
                </w:r>
              </w:p>
            </w:tc>
            <w:tc>
              <w:tcPr>
                <w:tcW w:w="1724" w:type="dxa"/>
                <w:shd w:val="clear" w:color="auto" w:fill="auto"/>
              </w:tcPr>
              <w:p>
                <w:pPr>
                  <w:pStyle w:val="76"/>
                  <w:autoSpaceDE w:val="0"/>
                  <w:autoSpaceDN w:val="0"/>
                  <w:adjustRightInd w:val="0"/>
                  <w:snapToGrid w:val="0"/>
                  <w:ind w:right="180"/>
                  <w:jc w:val="right"/>
                  <w:rPr>
                    <w:szCs w:val="21"/>
                  </w:rPr>
                </w:pPr>
              </w:p>
            </w:tc>
            <w:tc>
              <w:tcPr>
                <w:tcW w:w="1737" w:type="dxa"/>
                <w:shd w:val="clear" w:color="auto" w:fill="auto"/>
              </w:tcPr>
              <w:p>
                <w:pPr>
                  <w:pStyle w:val="76"/>
                  <w:autoSpaceDE w:val="0"/>
                  <w:autoSpaceDN w:val="0"/>
                  <w:adjustRightInd w:val="0"/>
                  <w:snapToGrid w:val="0"/>
                  <w:ind w:right="180"/>
                  <w:jc w:val="right"/>
                  <w:rPr>
                    <w:szCs w:val="21"/>
                  </w:rPr>
                </w:pPr>
              </w:p>
            </w:tc>
            <w:tc>
              <w:tcPr>
                <w:tcW w:w="1920" w:type="dxa"/>
                <w:shd w:val="clear" w:color="auto" w:fill="auto"/>
              </w:tcPr>
              <w:p>
                <w:pPr>
                  <w:pStyle w:val="76"/>
                  <w:autoSpaceDE w:val="0"/>
                  <w:autoSpaceDN w:val="0"/>
                  <w:adjustRightInd w:val="0"/>
                  <w:snapToGrid w:val="0"/>
                  <w:ind w:right="180"/>
                  <w:jc w:val="right"/>
                  <w:rPr>
                    <w:szCs w:val="21"/>
                  </w:rPr>
                </w:pPr>
                <w:r>
                  <w:t>405,207,071.51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c6472288a1e40028c081a6dc314eaf7"/>
                <w:id w:val="25155347"/>
                <w:lock w:val="sdtLocked"/>
              </w:sdtPr>
              <w:sdtContent>
                <w:tc>
                  <w:tcPr>
                    <w:tcW w:w="1592" w:type="dxa"/>
                    <w:shd w:val="clear" w:color="auto" w:fill="auto"/>
                    <w:vAlign w:val="center"/>
                  </w:tcPr>
                  <w:p>
                    <w:pPr>
                      <w:pStyle w:val="76"/>
                      <w:autoSpaceDE w:val="0"/>
                      <w:autoSpaceDN w:val="0"/>
                      <w:adjustRightInd w:val="0"/>
                      <w:snapToGrid w:val="0"/>
                      <w:rPr>
                        <w:szCs w:val="21"/>
                      </w:rPr>
                    </w:pPr>
                    <w:r>
                      <w:rPr>
                        <w:rFonts w:hint="eastAsia"/>
                        <w:szCs w:val="21"/>
                      </w:rPr>
                      <w:t>储备基金</w:t>
                    </w:r>
                  </w:p>
                </w:tc>
              </w:sdtContent>
            </w:sdt>
            <w:tc>
              <w:tcPr>
                <w:tcW w:w="1920" w:type="dxa"/>
                <w:shd w:val="clear" w:color="auto" w:fill="auto"/>
              </w:tcPr>
              <w:p>
                <w:pPr>
                  <w:pStyle w:val="76"/>
                  <w:autoSpaceDE w:val="0"/>
                  <w:autoSpaceDN w:val="0"/>
                  <w:adjustRightInd w:val="0"/>
                  <w:snapToGrid w:val="0"/>
                  <w:ind w:right="180"/>
                  <w:jc w:val="right"/>
                  <w:rPr>
                    <w:szCs w:val="21"/>
                  </w:rPr>
                </w:pPr>
              </w:p>
            </w:tc>
            <w:tc>
              <w:tcPr>
                <w:tcW w:w="1724" w:type="dxa"/>
                <w:shd w:val="clear" w:color="auto" w:fill="auto"/>
              </w:tcPr>
              <w:p>
                <w:pPr>
                  <w:pStyle w:val="76"/>
                  <w:autoSpaceDE w:val="0"/>
                  <w:autoSpaceDN w:val="0"/>
                  <w:adjustRightInd w:val="0"/>
                  <w:snapToGrid w:val="0"/>
                  <w:ind w:right="180"/>
                  <w:jc w:val="right"/>
                  <w:rPr>
                    <w:szCs w:val="21"/>
                  </w:rPr>
                </w:pPr>
              </w:p>
            </w:tc>
            <w:tc>
              <w:tcPr>
                <w:tcW w:w="1737" w:type="dxa"/>
                <w:shd w:val="clear" w:color="auto" w:fill="auto"/>
              </w:tcPr>
              <w:p>
                <w:pPr>
                  <w:pStyle w:val="76"/>
                  <w:autoSpaceDE w:val="0"/>
                  <w:autoSpaceDN w:val="0"/>
                  <w:adjustRightInd w:val="0"/>
                  <w:snapToGrid w:val="0"/>
                  <w:ind w:right="180"/>
                  <w:jc w:val="right"/>
                  <w:rPr>
                    <w:szCs w:val="21"/>
                  </w:rPr>
                </w:pPr>
              </w:p>
            </w:tc>
            <w:tc>
              <w:tcPr>
                <w:tcW w:w="1920" w:type="dxa"/>
                <w:shd w:val="clear" w:color="auto" w:fill="auto"/>
              </w:tcPr>
              <w:p>
                <w:pPr>
                  <w:pStyle w:val="76"/>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2c035d80b984cfb905e017b1d87986d"/>
                <w:id w:val="25155348"/>
                <w:lock w:val="sdtLocked"/>
              </w:sdtPr>
              <w:sdtContent>
                <w:tc>
                  <w:tcPr>
                    <w:tcW w:w="1592" w:type="dxa"/>
                    <w:shd w:val="clear" w:color="auto" w:fill="auto"/>
                    <w:vAlign w:val="center"/>
                  </w:tcPr>
                  <w:p>
                    <w:pPr>
                      <w:pStyle w:val="76"/>
                      <w:autoSpaceDE w:val="0"/>
                      <w:autoSpaceDN w:val="0"/>
                      <w:adjustRightInd w:val="0"/>
                      <w:snapToGrid w:val="0"/>
                      <w:rPr>
                        <w:szCs w:val="21"/>
                      </w:rPr>
                    </w:pPr>
                    <w:r>
                      <w:rPr>
                        <w:rFonts w:hint="eastAsia"/>
                        <w:szCs w:val="21"/>
                      </w:rPr>
                      <w:t>企业发展基金</w:t>
                    </w:r>
                  </w:p>
                </w:tc>
              </w:sdtContent>
            </w:sdt>
            <w:tc>
              <w:tcPr>
                <w:tcW w:w="1920" w:type="dxa"/>
                <w:shd w:val="clear" w:color="auto" w:fill="auto"/>
              </w:tcPr>
              <w:p>
                <w:pPr>
                  <w:pStyle w:val="76"/>
                  <w:autoSpaceDE w:val="0"/>
                  <w:autoSpaceDN w:val="0"/>
                  <w:adjustRightInd w:val="0"/>
                  <w:snapToGrid w:val="0"/>
                  <w:ind w:right="180"/>
                  <w:jc w:val="right"/>
                  <w:rPr>
                    <w:szCs w:val="21"/>
                  </w:rPr>
                </w:pPr>
              </w:p>
            </w:tc>
            <w:tc>
              <w:tcPr>
                <w:tcW w:w="1724" w:type="dxa"/>
                <w:shd w:val="clear" w:color="auto" w:fill="auto"/>
              </w:tcPr>
              <w:p>
                <w:pPr>
                  <w:pStyle w:val="76"/>
                  <w:autoSpaceDE w:val="0"/>
                  <w:autoSpaceDN w:val="0"/>
                  <w:adjustRightInd w:val="0"/>
                  <w:snapToGrid w:val="0"/>
                  <w:ind w:right="180"/>
                  <w:jc w:val="right"/>
                  <w:rPr>
                    <w:szCs w:val="21"/>
                  </w:rPr>
                </w:pPr>
              </w:p>
            </w:tc>
            <w:tc>
              <w:tcPr>
                <w:tcW w:w="1737" w:type="dxa"/>
                <w:shd w:val="clear" w:color="auto" w:fill="auto"/>
              </w:tcPr>
              <w:p>
                <w:pPr>
                  <w:pStyle w:val="76"/>
                  <w:autoSpaceDE w:val="0"/>
                  <w:autoSpaceDN w:val="0"/>
                  <w:adjustRightInd w:val="0"/>
                  <w:snapToGrid w:val="0"/>
                  <w:ind w:right="180"/>
                  <w:jc w:val="right"/>
                  <w:rPr>
                    <w:szCs w:val="21"/>
                  </w:rPr>
                </w:pPr>
              </w:p>
            </w:tc>
            <w:tc>
              <w:tcPr>
                <w:tcW w:w="1920" w:type="dxa"/>
                <w:shd w:val="clear" w:color="auto" w:fill="auto"/>
              </w:tcPr>
              <w:p>
                <w:pPr>
                  <w:pStyle w:val="76"/>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cad42018de8f4c088028eed7649f24a3"/>
                <w:id w:val="25155349"/>
                <w:lock w:val="sdtLocked"/>
              </w:sdtPr>
              <w:sdtContent>
                <w:tc>
                  <w:tcPr>
                    <w:tcW w:w="1592" w:type="dxa"/>
                    <w:shd w:val="clear" w:color="auto" w:fill="auto"/>
                    <w:vAlign w:val="center"/>
                  </w:tcPr>
                  <w:p>
                    <w:pPr>
                      <w:pStyle w:val="76"/>
                      <w:autoSpaceDE w:val="0"/>
                      <w:autoSpaceDN w:val="0"/>
                      <w:adjustRightInd w:val="0"/>
                      <w:snapToGrid w:val="0"/>
                      <w:rPr>
                        <w:szCs w:val="21"/>
                      </w:rPr>
                    </w:pPr>
                    <w:r>
                      <w:rPr>
                        <w:rFonts w:hint="eastAsia"/>
                        <w:szCs w:val="21"/>
                      </w:rPr>
                      <w:t>其他</w:t>
                    </w:r>
                  </w:p>
                </w:tc>
              </w:sdtContent>
            </w:sdt>
            <w:tc>
              <w:tcPr>
                <w:tcW w:w="1920" w:type="dxa"/>
                <w:shd w:val="clear" w:color="auto" w:fill="auto"/>
              </w:tcPr>
              <w:p>
                <w:pPr>
                  <w:pStyle w:val="76"/>
                  <w:autoSpaceDE w:val="0"/>
                  <w:autoSpaceDN w:val="0"/>
                  <w:adjustRightInd w:val="0"/>
                  <w:snapToGrid w:val="0"/>
                  <w:ind w:right="180"/>
                  <w:jc w:val="right"/>
                  <w:rPr>
                    <w:szCs w:val="21"/>
                  </w:rPr>
                </w:pPr>
              </w:p>
            </w:tc>
            <w:tc>
              <w:tcPr>
                <w:tcW w:w="1724" w:type="dxa"/>
                <w:shd w:val="clear" w:color="auto" w:fill="auto"/>
              </w:tcPr>
              <w:p>
                <w:pPr>
                  <w:pStyle w:val="76"/>
                  <w:autoSpaceDE w:val="0"/>
                  <w:autoSpaceDN w:val="0"/>
                  <w:adjustRightInd w:val="0"/>
                  <w:snapToGrid w:val="0"/>
                  <w:ind w:right="180"/>
                  <w:jc w:val="right"/>
                  <w:rPr>
                    <w:szCs w:val="21"/>
                  </w:rPr>
                </w:pPr>
              </w:p>
            </w:tc>
            <w:tc>
              <w:tcPr>
                <w:tcW w:w="1737" w:type="dxa"/>
                <w:shd w:val="clear" w:color="auto" w:fill="auto"/>
              </w:tcPr>
              <w:p>
                <w:pPr>
                  <w:pStyle w:val="76"/>
                  <w:autoSpaceDE w:val="0"/>
                  <w:autoSpaceDN w:val="0"/>
                  <w:adjustRightInd w:val="0"/>
                  <w:snapToGrid w:val="0"/>
                  <w:ind w:right="180"/>
                  <w:jc w:val="right"/>
                  <w:rPr>
                    <w:szCs w:val="21"/>
                  </w:rPr>
                </w:pPr>
              </w:p>
            </w:tc>
            <w:tc>
              <w:tcPr>
                <w:tcW w:w="1920" w:type="dxa"/>
                <w:shd w:val="clear" w:color="auto" w:fill="auto"/>
              </w:tcPr>
              <w:p>
                <w:pPr>
                  <w:pStyle w:val="76"/>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8e1917adbcf4318b4ab05bf11aaef0c"/>
                <w:id w:val="25155350"/>
                <w:lock w:val="sdtLocked"/>
              </w:sdtPr>
              <w:sdtContent>
                <w:tc>
                  <w:tcPr>
                    <w:tcW w:w="1592" w:type="dxa"/>
                  </w:tcPr>
                  <w:p>
                    <w:pPr>
                      <w:pStyle w:val="76"/>
                      <w:autoSpaceDE w:val="0"/>
                      <w:autoSpaceDN w:val="0"/>
                      <w:adjustRightInd w:val="0"/>
                      <w:snapToGrid w:val="0"/>
                      <w:jc w:val="center"/>
                      <w:rPr>
                        <w:szCs w:val="21"/>
                      </w:rPr>
                    </w:pPr>
                    <w:r>
                      <w:rPr>
                        <w:rFonts w:hint="eastAsia"/>
                        <w:szCs w:val="21"/>
                      </w:rPr>
                      <w:t>合计</w:t>
                    </w:r>
                  </w:p>
                </w:tc>
              </w:sdtContent>
            </w:sdt>
            <w:tc>
              <w:tcPr>
                <w:tcW w:w="1920" w:type="dxa"/>
              </w:tcPr>
              <w:p>
                <w:pPr>
                  <w:pStyle w:val="76"/>
                  <w:autoSpaceDE w:val="0"/>
                  <w:autoSpaceDN w:val="0"/>
                  <w:adjustRightInd w:val="0"/>
                  <w:snapToGrid w:val="0"/>
                  <w:ind w:right="180"/>
                  <w:jc w:val="right"/>
                  <w:rPr>
                    <w:szCs w:val="21"/>
                  </w:rPr>
                </w:pPr>
                <w:r>
                  <w:t>1,237,059,322.55</w:t>
                </w:r>
              </w:p>
            </w:tc>
            <w:tc>
              <w:tcPr>
                <w:tcW w:w="1724" w:type="dxa"/>
              </w:tcPr>
              <w:p>
                <w:pPr>
                  <w:pStyle w:val="76"/>
                  <w:autoSpaceDE w:val="0"/>
                  <w:autoSpaceDN w:val="0"/>
                  <w:adjustRightInd w:val="0"/>
                  <w:snapToGrid w:val="0"/>
                  <w:ind w:right="180"/>
                  <w:jc w:val="right"/>
                  <w:rPr>
                    <w:szCs w:val="21"/>
                  </w:rPr>
                </w:pPr>
              </w:p>
            </w:tc>
            <w:tc>
              <w:tcPr>
                <w:tcW w:w="1737" w:type="dxa"/>
              </w:tcPr>
              <w:p>
                <w:pPr>
                  <w:pStyle w:val="76"/>
                  <w:autoSpaceDE w:val="0"/>
                  <w:autoSpaceDN w:val="0"/>
                  <w:adjustRightInd w:val="0"/>
                  <w:snapToGrid w:val="0"/>
                  <w:ind w:right="180"/>
                  <w:jc w:val="right"/>
                  <w:rPr>
                    <w:szCs w:val="21"/>
                  </w:rPr>
                </w:pPr>
              </w:p>
            </w:tc>
            <w:tc>
              <w:tcPr>
                <w:tcW w:w="1920" w:type="dxa"/>
              </w:tcPr>
              <w:p>
                <w:pPr>
                  <w:pStyle w:val="76"/>
                  <w:autoSpaceDE w:val="0"/>
                  <w:autoSpaceDN w:val="0"/>
                  <w:adjustRightInd w:val="0"/>
                  <w:snapToGrid w:val="0"/>
                  <w:ind w:right="180"/>
                  <w:jc w:val="right"/>
                  <w:rPr>
                    <w:szCs w:val="21"/>
                  </w:rPr>
                </w:pPr>
                <w:r>
                  <w:t>1,237,059,322.55</w:t>
                </w:r>
              </w:p>
            </w:tc>
          </w:tr>
        </w:tbl>
        <w:p>
          <w:pPr>
            <w:pStyle w:val="76"/>
          </w:pPr>
        </w:p>
      </w:sdtContent>
    </w:sdt>
    <w:p>
      <w:pPr>
        <w:pStyle w:val="79"/>
        <w:numPr>
          <w:ilvl w:val="0"/>
          <w:numId w:val="46"/>
        </w:numPr>
        <w:tabs>
          <w:tab w:val="left" w:pos="504"/>
        </w:tabs>
        <w:rPr>
          <w:rFonts w:ascii="宋体" w:hAnsi="宋体"/>
          <w:szCs w:val="21"/>
        </w:rPr>
      </w:pPr>
      <w:r>
        <w:rPr>
          <w:rFonts w:hint="eastAsia" w:ascii="宋体" w:hAnsi="宋体"/>
          <w:szCs w:val="21"/>
        </w:rPr>
        <w:t>未分配利润</w:t>
      </w:r>
    </w:p>
    <w:p>
      <w:pPr>
        <w:pStyle w:val="76"/>
      </w:pPr>
      <w:sdt>
        <w:sdtPr>
          <w:alias w:val="是否适用：未分配利润[双击切换]"/>
          <w:tag w:val="_GBC_32c558bdbb77445cabeee783e5ff910e"/>
          <w:id w:val="25155352"/>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25155373"/>
        <w:lock w:val="sdtLocked"/>
        <w:placeholder>
          <w:docPart w:val="GBC22222222222222222222222222222"/>
        </w:placeholder>
      </w:sdtPr>
      <w:sdtEndPr>
        <w:rPr>
          <w:rFonts w:hint="eastAsia"/>
          <w:b w:val="0"/>
          <w:bCs w:val="0"/>
          <w:szCs w:val="21"/>
        </w:rPr>
      </w:sdtEndPr>
      <w:sdtContent>
        <w:p>
          <w:pPr>
            <w:pStyle w:val="76"/>
            <w:jc w:val="right"/>
            <w:rPr>
              <w:szCs w:val="21"/>
            </w:rPr>
          </w:pPr>
          <w:r>
            <w:rPr>
              <w:rFonts w:hint="eastAsia"/>
              <w:szCs w:val="21"/>
            </w:rPr>
            <w:t>单位：</w:t>
          </w:r>
          <w:sdt>
            <w:sdtPr>
              <w:rPr>
                <w:rFonts w:hint="eastAsia"/>
                <w:szCs w:val="21"/>
              </w:rPr>
              <w:alias w:val="单位：财务附注：未分配利润"/>
              <w:tag w:val="_GBC_cfb07ff3eded4b49916cfc42d821bab6"/>
              <w:id w:val="25155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251553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4426"/>
            <w:gridCol w:w="255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6dc2bd7eebb4e6d9f1ccea8d86e6f47"/>
                <w:id w:val="25155355"/>
                <w:lock w:val="sdtLocked"/>
              </w:sdtPr>
              <w:sdtContent>
                <w:tc>
                  <w:tcPr>
                    <w:tcW w:w="4426" w:type="dxa"/>
                    <w:vAlign w:val="center"/>
                  </w:tcPr>
                  <w:p>
                    <w:pPr>
                      <w:pStyle w:val="76"/>
                      <w:jc w:val="center"/>
                      <w:rPr>
                        <w:szCs w:val="21"/>
                      </w:rPr>
                    </w:pPr>
                    <w:r>
                      <w:rPr>
                        <w:rFonts w:hint="eastAsia"/>
                        <w:szCs w:val="21"/>
                      </w:rPr>
                      <w:t>项目</w:t>
                    </w:r>
                  </w:p>
                </w:tc>
              </w:sdtContent>
            </w:sdt>
            <w:sdt>
              <w:sdtPr>
                <w:tag w:val="_PLD_6e60054e3c3747d1a0ffc87edacae2b6"/>
                <w:id w:val="25155356"/>
                <w:lock w:val="sdtLocked"/>
              </w:sdtPr>
              <w:sdtContent>
                <w:tc>
                  <w:tcPr>
                    <w:tcW w:w="2551" w:type="dxa"/>
                    <w:vAlign w:val="center"/>
                  </w:tcPr>
                  <w:p>
                    <w:pPr>
                      <w:pStyle w:val="76"/>
                      <w:jc w:val="center"/>
                      <w:rPr>
                        <w:szCs w:val="21"/>
                      </w:rPr>
                    </w:pPr>
                    <w:r>
                      <w:rPr>
                        <w:rFonts w:hint="eastAsia"/>
                        <w:szCs w:val="21"/>
                      </w:rPr>
                      <w:t>本期</w:t>
                    </w:r>
                  </w:p>
                </w:tc>
              </w:sdtContent>
            </w:sdt>
            <w:sdt>
              <w:sdtPr>
                <w:tag w:val="_PLD_9afd54e9959d4b22b00bfe92596a2a16"/>
                <w:id w:val="25155357"/>
                <w:lock w:val="sdtLocked"/>
              </w:sdtPr>
              <w:sdtContent>
                <w:tc>
                  <w:tcPr>
                    <w:tcW w:w="1918" w:type="dxa"/>
                    <w:vAlign w:val="center"/>
                  </w:tcPr>
                  <w:p>
                    <w:pPr>
                      <w:pStyle w:val="76"/>
                      <w:jc w:val="center"/>
                      <w:rPr>
                        <w:szCs w:val="21"/>
                      </w:rPr>
                    </w:pPr>
                    <w:r>
                      <w:rPr>
                        <w:rFonts w:hint="eastAsia"/>
                        <w:szCs w:val="21"/>
                      </w:rPr>
                      <w:t>上期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3790b8d7d129484381d1c2fa2fa8d23c"/>
                <w:id w:val="25155358"/>
                <w:lock w:val="sdtLocked"/>
              </w:sdtPr>
              <w:sdtContent>
                <w:tc>
                  <w:tcPr>
                    <w:tcW w:w="4426" w:type="dxa"/>
                  </w:tcPr>
                  <w:p>
                    <w:pPr>
                      <w:pStyle w:val="76"/>
                      <w:rPr>
                        <w:szCs w:val="21"/>
                      </w:rPr>
                    </w:pPr>
                    <w:r>
                      <w:rPr>
                        <w:rFonts w:hint="eastAsia"/>
                        <w:szCs w:val="21"/>
                      </w:rPr>
                      <w:t>调整前上期末未分配利润</w:t>
                    </w:r>
                  </w:p>
                </w:tc>
              </w:sdtContent>
            </w:sdt>
            <w:tc>
              <w:tcPr>
                <w:tcW w:w="2551" w:type="dxa"/>
              </w:tcPr>
              <w:p>
                <w:pPr>
                  <w:pStyle w:val="76"/>
                  <w:ind w:right="6"/>
                  <w:jc w:val="right"/>
                  <w:rPr>
                    <w:szCs w:val="21"/>
                  </w:rPr>
                </w:pPr>
                <w:r>
                  <w:rPr>
                    <w:szCs w:val="21"/>
                  </w:rPr>
                  <w:t>3,189,805,250.52</w:t>
                </w:r>
              </w:p>
            </w:tc>
            <w:tc>
              <w:tcPr>
                <w:tcW w:w="1918" w:type="dxa"/>
              </w:tcPr>
              <w:p>
                <w:pPr>
                  <w:pStyle w:val="76"/>
                  <w:jc w:val="right"/>
                  <w:rPr>
                    <w:szCs w:val="21"/>
                  </w:rPr>
                </w:pPr>
                <w:r>
                  <w:t>885,130,382.22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9b1e9805f3e4b93aa362504b83793b1"/>
                <w:id w:val="25155359"/>
                <w:lock w:val="sdtLocked"/>
              </w:sdtPr>
              <w:sdtContent>
                <w:tc>
                  <w:tcPr>
                    <w:tcW w:w="4426" w:type="dxa"/>
                  </w:tcPr>
                  <w:p>
                    <w:pPr>
                      <w:pStyle w:val="76"/>
                      <w:rPr>
                        <w:szCs w:val="21"/>
                      </w:rPr>
                    </w:pPr>
                    <w:r>
                      <w:rPr>
                        <w:rFonts w:hint="eastAsia"/>
                        <w:szCs w:val="21"/>
                      </w:rPr>
                      <w:t>调整期初未分配利润合计数（调增</w:t>
                    </w:r>
                    <w:r>
                      <w:rPr>
                        <w:szCs w:val="21"/>
                      </w:rPr>
                      <w:t>+</w:t>
                    </w:r>
                    <w:r>
                      <w:rPr>
                        <w:rFonts w:hint="eastAsia"/>
                        <w:szCs w:val="21"/>
                      </w:rPr>
                      <w:t>，调减－）</w:t>
                    </w:r>
                  </w:p>
                </w:tc>
              </w:sdtContent>
            </w:sdt>
            <w:tc>
              <w:tcPr>
                <w:tcW w:w="2551" w:type="dxa"/>
              </w:tcPr>
              <w:p>
                <w:pPr>
                  <w:pStyle w:val="76"/>
                  <w:ind w:right="6"/>
                  <w:jc w:val="right"/>
                  <w:rPr>
                    <w:szCs w:val="21"/>
                  </w:rPr>
                </w:pP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a98e2bc7c1b48d785851921473e7f5f"/>
                <w:id w:val="25155360"/>
                <w:lock w:val="sdtLocked"/>
              </w:sdtPr>
              <w:sdtContent>
                <w:tc>
                  <w:tcPr>
                    <w:tcW w:w="4426" w:type="dxa"/>
                  </w:tcPr>
                  <w:p>
                    <w:pPr>
                      <w:pStyle w:val="76"/>
                      <w:rPr>
                        <w:szCs w:val="21"/>
                      </w:rPr>
                    </w:pPr>
                    <w:r>
                      <w:rPr>
                        <w:rFonts w:hint="eastAsia"/>
                        <w:szCs w:val="21"/>
                      </w:rPr>
                      <w:t>调整后期初未分配利润</w:t>
                    </w:r>
                  </w:p>
                </w:tc>
              </w:sdtContent>
            </w:sdt>
            <w:tc>
              <w:tcPr>
                <w:tcW w:w="2551" w:type="dxa"/>
              </w:tcPr>
              <w:p>
                <w:pPr>
                  <w:pStyle w:val="76"/>
                  <w:ind w:right="6"/>
                  <w:jc w:val="right"/>
                  <w:rPr>
                    <w:szCs w:val="21"/>
                  </w:rPr>
                </w:pPr>
                <w:r>
                  <w:rPr>
                    <w:szCs w:val="21"/>
                  </w:rPr>
                  <w:t>3,189,805,250.52</w:t>
                </w:r>
              </w:p>
            </w:tc>
            <w:tc>
              <w:tcPr>
                <w:tcW w:w="1918" w:type="dxa"/>
              </w:tcPr>
              <w:p>
                <w:pPr>
                  <w:pStyle w:val="76"/>
                  <w:ind w:right="6"/>
                  <w:jc w:val="right"/>
                  <w:rPr>
                    <w:szCs w:val="21"/>
                  </w:rPr>
                </w:pPr>
                <w:r>
                  <w:t>885,130,382.22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a8ba0dc26a946cbb60b0ff473f157c1"/>
                <w:id w:val="25155361"/>
                <w:lock w:val="sdtLocked"/>
              </w:sdtPr>
              <w:sdtContent>
                <w:tc>
                  <w:tcPr>
                    <w:tcW w:w="4426" w:type="dxa"/>
                  </w:tcPr>
                  <w:p>
                    <w:pPr>
                      <w:pStyle w:val="76"/>
                      <w:ind w:right="6"/>
                      <w:rPr>
                        <w:szCs w:val="21"/>
                      </w:rPr>
                    </w:pPr>
                    <w:r>
                      <w:rPr>
                        <w:rFonts w:hint="eastAsia"/>
                        <w:szCs w:val="21"/>
                      </w:rPr>
                      <w:t>加：本期归属于母公司所有者的净利润</w:t>
                    </w:r>
                  </w:p>
                </w:tc>
              </w:sdtContent>
            </w:sdt>
            <w:tc>
              <w:tcPr>
                <w:tcW w:w="2551" w:type="dxa"/>
              </w:tcPr>
              <w:p>
                <w:pPr>
                  <w:pStyle w:val="76"/>
                  <w:ind w:right="6"/>
                  <w:jc w:val="right"/>
                  <w:rPr>
                    <w:szCs w:val="21"/>
                  </w:rPr>
                </w:pPr>
                <w:r>
                  <w:rPr>
                    <w:szCs w:val="21"/>
                  </w:rPr>
                  <w:t>2,040,573,358.16</w:t>
                </w:r>
              </w:p>
            </w:tc>
            <w:tc>
              <w:tcPr>
                <w:tcW w:w="1918" w:type="dxa"/>
              </w:tcPr>
              <w:p>
                <w:pPr>
                  <w:pStyle w:val="76"/>
                  <w:ind w:right="6"/>
                  <w:jc w:val="right"/>
                  <w:rPr>
                    <w:szCs w:val="21"/>
                  </w:rPr>
                </w:pPr>
                <w:r>
                  <w:t>395,609,973.68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7aab68ad9b74921a7946fa4d2999e51"/>
                <w:id w:val="25155362"/>
                <w:lock w:val="sdtLocked"/>
              </w:sdtPr>
              <w:sdtContent>
                <w:tc>
                  <w:tcPr>
                    <w:tcW w:w="4426" w:type="dxa"/>
                  </w:tcPr>
                  <w:p>
                    <w:pPr>
                      <w:pStyle w:val="76"/>
                      <w:autoSpaceDE w:val="0"/>
                      <w:autoSpaceDN w:val="0"/>
                      <w:adjustRightInd w:val="0"/>
                      <w:rPr>
                        <w:szCs w:val="21"/>
                      </w:rPr>
                    </w:pPr>
                    <w:r>
                      <w:rPr>
                        <w:rFonts w:hint="eastAsia"/>
                        <w:szCs w:val="21"/>
                      </w:rPr>
                      <w:t>减：提取法定盈余公积</w:t>
                    </w:r>
                  </w:p>
                </w:tc>
              </w:sdtContent>
            </w:sdt>
            <w:tc>
              <w:tcPr>
                <w:tcW w:w="2551" w:type="dxa"/>
              </w:tcPr>
              <w:p>
                <w:pPr>
                  <w:pStyle w:val="76"/>
                  <w:jc w:val="right"/>
                  <w:rPr>
                    <w:szCs w:val="21"/>
                  </w:rPr>
                </w:pP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6ebcf558d244f77a28b1f8b843a2b3a"/>
                <w:id w:val="25155363"/>
                <w:lock w:val="sdtLocked"/>
              </w:sdtPr>
              <w:sdtContent>
                <w:tc>
                  <w:tcPr>
                    <w:tcW w:w="4426" w:type="dxa"/>
                  </w:tcPr>
                  <w:p>
                    <w:pPr>
                      <w:pStyle w:val="76"/>
                      <w:autoSpaceDE w:val="0"/>
                      <w:autoSpaceDN w:val="0"/>
                      <w:adjustRightInd w:val="0"/>
                      <w:ind w:firstLine="420"/>
                      <w:rPr>
                        <w:szCs w:val="21"/>
                      </w:rPr>
                    </w:pPr>
                    <w:r>
                      <w:rPr>
                        <w:rFonts w:hint="eastAsia"/>
                        <w:szCs w:val="21"/>
                      </w:rPr>
                      <w:t>提取任意盈余公积</w:t>
                    </w:r>
                  </w:p>
                </w:tc>
              </w:sdtContent>
            </w:sdt>
            <w:tc>
              <w:tcPr>
                <w:tcW w:w="2551" w:type="dxa"/>
              </w:tcPr>
              <w:p>
                <w:pPr>
                  <w:pStyle w:val="76"/>
                  <w:jc w:val="right"/>
                  <w:rPr>
                    <w:szCs w:val="21"/>
                  </w:rPr>
                </w:pP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c773909db1b34f04acac84ec73864a3f"/>
                <w:id w:val="25155364"/>
                <w:lock w:val="sdtLocked"/>
              </w:sdtPr>
              <w:sdtContent>
                <w:tc>
                  <w:tcPr>
                    <w:tcW w:w="4426" w:type="dxa"/>
                  </w:tcPr>
                  <w:p>
                    <w:pPr>
                      <w:pStyle w:val="76"/>
                      <w:autoSpaceDE w:val="0"/>
                      <w:autoSpaceDN w:val="0"/>
                      <w:adjustRightInd w:val="0"/>
                      <w:ind w:firstLine="420"/>
                      <w:rPr>
                        <w:szCs w:val="21"/>
                      </w:rPr>
                    </w:pPr>
                    <w:r>
                      <w:rPr>
                        <w:rFonts w:hint="eastAsia"/>
                        <w:szCs w:val="21"/>
                      </w:rPr>
                      <w:t>提取一般风险准备</w:t>
                    </w:r>
                  </w:p>
                </w:tc>
              </w:sdtContent>
            </w:sdt>
            <w:tc>
              <w:tcPr>
                <w:tcW w:w="2551" w:type="dxa"/>
              </w:tcPr>
              <w:p>
                <w:pPr>
                  <w:pStyle w:val="76"/>
                  <w:jc w:val="right"/>
                  <w:rPr>
                    <w:szCs w:val="21"/>
                  </w:rPr>
                </w:pP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d2ba40ebcadd4931bdef6468fc324069"/>
                <w:id w:val="25155365"/>
                <w:lock w:val="sdtLocked"/>
              </w:sdtPr>
              <w:sdtContent>
                <w:tc>
                  <w:tcPr>
                    <w:tcW w:w="4426" w:type="dxa"/>
                  </w:tcPr>
                  <w:p>
                    <w:pPr>
                      <w:pStyle w:val="76"/>
                      <w:autoSpaceDE w:val="0"/>
                      <w:autoSpaceDN w:val="0"/>
                      <w:adjustRightInd w:val="0"/>
                      <w:ind w:firstLine="420"/>
                      <w:rPr>
                        <w:szCs w:val="21"/>
                      </w:rPr>
                    </w:pPr>
                    <w:r>
                      <w:rPr>
                        <w:rFonts w:hint="eastAsia"/>
                        <w:szCs w:val="21"/>
                      </w:rPr>
                      <w:t>应付普通股股利</w:t>
                    </w:r>
                  </w:p>
                </w:tc>
              </w:sdtContent>
            </w:sdt>
            <w:tc>
              <w:tcPr>
                <w:tcW w:w="2551" w:type="dxa"/>
              </w:tcPr>
              <w:p>
                <w:pPr>
                  <w:pStyle w:val="76"/>
                  <w:jc w:val="right"/>
                  <w:rPr>
                    <w:szCs w:val="21"/>
                  </w:rPr>
                </w:pPr>
                <w:r>
                  <w:rPr>
                    <w:szCs w:val="21"/>
                  </w:rPr>
                  <w:t>1,281,396,600</w:t>
                </w:r>
                <w:r>
                  <w:rPr>
                    <w:rFonts w:hint="eastAsia"/>
                    <w:szCs w:val="21"/>
                  </w:rPr>
                  <w:t>.00</w:t>
                </w: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d8041f36a4744fe893cd617b9149d704"/>
                <w:id w:val="25155366"/>
                <w:lock w:val="sdtLocked"/>
              </w:sdtPr>
              <w:sdtContent>
                <w:tc>
                  <w:tcPr>
                    <w:tcW w:w="4426" w:type="dxa"/>
                  </w:tcPr>
                  <w:p>
                    <w:pPr>
                      <w:pStyle w:val="76"/>
                      <w:autoSpaceDE w:val="0"/>
                      <w:autoSpaceDN w:val="0"/>
                      <w:adjustRightInd w:val="0"/>
                      <w:ind w:firstLine="420"/>
                      <w:rPr>
                        <w:szCs w:val="21"/>
                      </w:rPr>
                    </w:pPr>
                    <w:r>
                      <w:rPr>
                        <w:rFonts w:hint="eastAsia"/>
                        <w:szCs w:val="21"/>
                      </w:rPr>
                      <w:t>转作股本的普通股股利</w:t>
                    </w:r>
                  </w:p>
                </w:tc>
              </w:sdtContent>
            </w:sdt>
            <w:tc>
              <w:tcPr>
                <w:tcW w:w="2551" w:type="dxa"/>
              </w:tcPr>
              <w:p>
                <w:pPr>
                  <w:pStyle w:val="76"/>
                  <w:jc w:val="right"/>
                  <w:rPr>
                    <w:szCs w:val="21"/>
                  </w:rPr>
                </w:pPr>
              </w:p>
            </w:tc>
            <w:tc>
              <w:tcPr>
                <w:tcW w:w="1918"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654c3e21e6d4aa0a63a12e93a24988a"/>
                <w:id w:val="25155367"/>
                <w:lock w:val="sdtLocked"/>
              </w:sdtPr>
              <w:sdtContent>
                <w:tc>
                  <w:tcPr>
                    <w:tcW w:w="4426" w:type="dxa"/>
                  </w:tcPr>
                  <w:p>
                    <w:pPr>
                      <w:pStyle w:val="76"/>
                      <w:autoSpaceDE w:val="0"/>
                      <w:autoSpaceDN w:val="0"/>
                      <w:adjustRightInd w:val="0"/>
                      <w:rPr>
                        <w:szCs w:val="21"/>
                      </w:rPr>
                    </w:pPr>
                    <w:r>
                      <w:rPr>
                        <w:rFonts w:hint="eastAsia"/>
                        <w:szCs w:val="21"/>
                      </w:rPr>
                      <w:t>期末未分配利润</w:t>
                    </w:r>
                  </w:p>
                </w:tc>
              </w:sdtContent>
            </w:sdt>
            <w:tc>
              <w:tcPr>
                <w:tcW w:w="2551" w:type="dxa"/>
              </w:tcPr>
              <w:p>
                <w:pPr>
                  <w:pStyle w:val="76"/>
                  <w:jc w:val="right"/>
                  <w:rPr>
                    <w:szCs w:val="21"/>
                  </w:rPr>
                </w:pPr>
                <w:r>
                  <w:rPr>
                    <w:szCs w:val="21"/>
                  </w:rPr>
                  <w:t>3,948,982,008.68</w:t>
                </w:r>
              </w:p>
            </w:tc>
            <w:tc>
              <w:tcPr>
                <w:tcW w:w="1918" w:type="dxa"/>
              </w:tcPr>
              <w:p>
                <w:pPr>
                  <w:pStyle w:val="76"/>
                  <w:ind w:right="6"/>
                  <w:jc w:val="right"/>
                  <w:rPr>
                    <w:szCs w:val="21"/>
                  </w:rPr>
                </w:pPr>
                <w:r>
                  <w:t>1,280,740,355.90</w:t>
                </w:r>
              </w:p>
            </w:tc>
          </w:tr>
        </w:tbl>
        <w:p>
          <w:pPr>
            <w:pStyle w:val="76"/>
          </w:pPr>
        </w:p>
        <w:p>
          <w:pPr>
            <w:pStyle w:val="76"/>
            <w:spacing w:before="60" w:after="60"/>
            <w:rPr>
              <w:color w:val="000000" w:themeColor="text1"/>
              <w:szCs w:val="21"/>
            </w:rPr>
          </w:pPr>
          <w:r>
            <w:rPr>
              <w:rFonts w:hint="eastAsia"/>
              <w:color w:val="000000" w:themeColor="text1"/>
              <w:szCs w:val="21"/>
            </w:rPr>
            <w:t>调整期初未分配利润明细：</w:t>
          </w:r>
        </w:p>
        <w:p>
          <w:pPr>
            <w:pStyle w:val="76"/>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25155368"/>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pStyle w:val="76"/>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25155369"/>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pStyle w:val="76"/>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25155370"/>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pStyle w:val="76"/>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25155371"/>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pStyle w:val="76"/>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25155372"/>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sdtContent>
    </w:sdt>
    <w:p>
      <w:pPr>
        <w:pStyle w:val="76"/>
        <w:rPr>
          <w:szCs w:val="21"/>
        </w:rPr>
      </w:pPr>
    </w:p>
    <w:sdt>
      <w:sdtPr>
        <w:rPr>
          <w:rFonts w:hint="eastAsia" w:ascii="宋体" w:hAnsi="宋体" w:cs="宋体"/>
          <w:b w:val="0"/>
          <w:bCs w:val="0"/>
          <w:kern w:val="0"/>
          <w:szCs w:val="21"/>
        </w:rPr>
        <w:alias w:val="模块:营业收入和营业成本"/>
        <w:tag w:val="_GBC_a3a22662ec3d4fb69e12845051ced996"/>
        <w:id w:val="25155387"/>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46"/>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876680c4ba6b433896b625efff84d599"/>
            <w:id w:val="2515537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bCs/>
              <w:szCs w:val="21"/>
            </w:rPr>
            <w:t>单位：</w:t>
          </w:r>
          <w:sdt>
            <w:sdtPr>
              <w:rPr>
                <w:rFonts w:hint="eastAsia"/>
                <w:bCs/>
                <w:szCs w:val="21"/>
              </w:rPr>
              <w:alias w:val="单位：财务附注：营业收入"/>
              <w:tag w:val="_GBC_611ed6dd25a247cf86a0fb98cd86e68f"/>
              <w:id w:val="251553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bCs/>
                <w:szCs w:val="21"/>
              </w:r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251553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bCs/>
                <w:szCs w:val="21"/>
              </w:rPr>
            </w:sdtEndPr>
            <w:sdtContent>
              <w:r>
                <w:rPr>
                  <w:rFonts w:hint="eastAsia"/>
                  <w:bCs/>
                  <w:szCs w:val="21"/>
                </w:rPr>
                <w:t>人民币</w:t>
              </w:r>
            </w:sdtContent>
          </w:sdt>
        </w:p>
        <w:tbl>
          <w:tblPr>
            <w:tblStyle w:val="82"/>
            <w:tblW w:w="892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864"/>
            <w:gridCol w:w="1877"/>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41752618c6a4ee08ca01f5944b34b81"/>
                <w:id w:val="25155377"/>
                <w:lock w:val="sdtLocked"/>
              </w:sdtPr>
              <w:sdtContent>
                <w:tc>
                  <w:tcPr>
                    <w:tcW w:w="1437" w:type="dxa"/>
                    <w:vMerge w:val="restart"/>
                    <w:tcBorders>
                      <w:top w:val="single" w:color="auto" w:sz="4" w:space="0"/>
                      <w:left w:val="single" w:color="auto" w:sz="4" w:space="0"/>
                      <w:right w:val="single" w:color="auto" w:sz="4" w:space="0"/>
                    </w:tcBorders>
                    <w:shd w:val="clear" w:color="auto" w:fill="auto"/>
                    <w:vAlign w:val="center"/>
                  </w:tcPr>
                  <w:p>
                    <w:pPr>
                      <w:pStyle w:val="76"/>
                      <w:jc w:val="center"/>
                      <w:rPr>
                        <w:szCs w:val="21"/>
                      </w:rPr>
                    </w:pPr>
                    <w:r>
                      <w:rPr>
                        <w:rFonts w:hint="eastAsia"/>
                        <w:szCs w:val="21"/>
                      </w:rPr>
                      <w:t>项目</w:t>
                    </w:r>
                  </w:p>
                </w:tc>
              </w:sdtContent>
            </w:sdt>
            <w:sdt>
              <w:sdtPr>
                <w:tag w:val="_PLD_f88658ae6cb94ea390736e112b0d5ffc"/>
                <w:id w:val="25155378"/>
                <w:lock w:val="sdtLocked"/>
              </w:sdtPr>
              <w:sdtContent>
                <w:tc>
                  <w:tcPr>
                    <w:tcW w:w="3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本期发生额</w:t>
                    </w:r>
                  </w:p>
                </w:tc>
              </w:sdtContent>
            </w:sdt>
            <w:sdt>
              <w:sdtPr>
                <w:tag w:val="_PLD_0840d72efce94f22bdf4d566046b2e87"/>
                <w:id w:val="25155379"/>
                <w:lock w:val="sdtLocked"/>
              </w:sdtPr>
              <w:sdtContent>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tcBorders>
                  <w:left w:val="single" w:color="auto" w:sz="4" w:space="0"/>
                  <w:bottom w:val="single" w:color="auto" w:sz="4" w:space="0"/>
                  <w:right w:val="single" w:color="auto" w:sz="4" w:space="0"/>
                </w:tcBorders>
                <w:shd w:val="clear" w:color="auto" w:fill="auto"/>
              </w:tcPr>
              <w:p>
                <w:pPr>
                  <w:pStyle w:val="76"/>
                  <w:jc w:val="center"/>
                  <w:rPr>
                    <w:szCs w:val="21"/>
                  </w:rPr>
                </w:pPr>
              </w:p>
            </w:tc>
            <w:sdt>
              <w:sdtPr>
                <w:tag w:val="_PLD_39942ac1f2654fa6bda80d7116d83859"/>
                <w:id w:val="25155380"/>
                <w:lock w:val="sdtLocked"/>
              </w:sdtPr>
              <w:sdtContent>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收入</w:t>
                    </w:r>
                  </w:p>
                </w:tc>
              </w:sdtContent>
            </w:sdt>
            <w:sdt>
              <w:sdtPr>
                <w:tag w:val="_PLD_5075262c52564bf09f90a67ee6a84b17"/>
                <w:id w:val="25155381"/>
                <w:lock w:val="sdtLocked"/>
              </w:sdtPr>
              <w:sdtContent>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成本</w:t>
                    </w:r>
                  </w:p>
                </w:tc>
              </w:sdtContent>
            </w:sdt>
            <w:sdt>
              <w:sdtPr>
                <w:tag w:val="_PLD_33a1015c666d49cba108bce6aafea1f7"/>
                <w:id w:val="25155382"/>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收入</w:t>
                    </w:r>
                  </w:p>
                </w:tc>
              </w:sdtContent>
            </w:sdt>
            <w:sdt>
              <w:sdtPr>
                <w:tag w:val="_PLD_d09deaa2e4d443459a3584a1d7e92203"/>
                <w:id w:val="25155383"/>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成本</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bfcd00fb124eaf81fd672b23a24a00"/>
                <w:id w:val="25155384"/>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主营业务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21,211,624,576.39</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18,380,674,126.82</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17,830,811,684.62</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17,254,208,311.42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7f3dcab1c140c8a4254ddfe38c4d7d"/>
                <w:id w:val="25155385"/>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其他业务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1,371,663,910.68</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1,236,884,928.05</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1,263,967,243.74</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1,124,288,831.37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6cf597d82bf4ed089aa5592301f1642"/>
                <w:id w:val="25155386"/>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合计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22,583,288,487.07</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19,617,559,054.87</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19,094,778,928.36</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18,378,497,142.79</w:t>
                </w:r>
              </w:p>
            </w:tc>
          </w:tr>
        </w:tbl>
        <w:p>
          <w:pPr>
            <w:pStyle w:val="76"/>
            <w:rPr>
              <w:szCs w:val="21"/>
            </w:rPr>
          </w:pPr>
        </w:p>
      </w:sdtContent>
    </w:sdt>
    <w:sdt>
      <w:sdtPr>
        <w:rPr>
          <w:rFonts w:hint="eastAsia" w:ascii="宋体" w:hAnsi="宋体" w:cs="宋体"/>
          <w:b w:val="0"/>
          <w:bCs w:val="0"/>
          <w:kern w:val="0"/>
          <w:szCs w:val="21"/>
        </w:rPr>
        <w:alias w:val="模块:税金及附加"/>
        <w:tag w:val="_GBC_38185835049143dd873ff3e7d0941647"/>
        <w:id w:val="25155404"/>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税金及附加</w:t>
          </w:r>
        </w:p>
        <w:sdt>
          <w:sdtPr>
            <w:alias w:val="是否适用：税金及附加[双击切换]"/>
            <w:tag w:val="_GBC_e6e37ca7fd2a435e8e042586945bb4d2"/>
            <w:id w:val="2515538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b/>
              <w:szCs w:val="21"/>
            </w:rPr>
          </w:pPr>
          <w:r>
            <w:rPr>
              <w:rFonts w:hint="eastAsia"/>
              <w:szCs w:val="21"/>
            </w:rPr>
            <w:t>单位：</w:t>
          </w:r>
          <w:sdt>
            <w:sdtPr>
              <w:rPr>
                <w:rFonts w:hint="eastAsia"/>
                <w:szCs w:val="21"/>
              </w:rPr>
              <w:alias w:val="单位：财务附注：营业税金及附加"/>
              <w:tag w:val="_GBC_bdd382ceb0b74413bcc8ce354afae4a8"/>
              <w:id w:val="251553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251553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57"/>
            <w:gridCol w:w="3018"/>
            <w:gridCol w:w="3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444bcf5500dc4f7f9041afd20c147408"/>
                <w:id w:val="25155391"/>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25155392"/>
                <w:lock w:val="sdtLocked"/>
              </w:sdtPr>
              <w:sdtContent>
                <w:tc>
                  <w:tcPr>
                    <w:tcW w:w="3018" w:type="dxa"/>
                    <w:tcBorders>
                      <w:top w:val="single" w:color="auto" w:sz="6" w:space="0"/>
                      <w:left w:val="single" w:color="auto" w:sz="6" w:space="0"/>
                      <w:bottom w:val="single" w:color="auto" w:sz="6" w:space="0"/>
                      <w:right w:val="single" w:color="auto" w:sz="6" w:space="0"/>
                    </w:tcBorders>
                  </w:tcPr>
                  <w:p>
                    <w:pPr>
                      <w:pStyle w:val="76"/>
                      <w:jc w:val="center"/>
                      <w:rPr>
                        <w:szCs w:val="21"/>
                      </w:rPr>
                    </w:pPr>
                    <w:r>
                      <w:rPr>
                        <w:rFonts w:hint="eastAsia"/>
                        <w:szCs w:val="21"/>
                      </w:rPr>
                      <w:t>本期发生额</w:t>
                    </w:r>
                  </w:p>
                </w:tc>
              </w:sdtContent>
            </w:sdt>
            <w:sdt>
              <w:sdtPr>
                <w:tag w:val="_PLD_4ab1376344dc484195a5459c78069a64"/>
                <w:id w:val="25155393"/>
                <w:lock w:val="sdtLocked"/>
              </w:sdtPr>
              <w:sdtContent>
                <w:tc>
                  <w:tcPr>
                    <w:tcW w:w="3018" w:type="dxa"/>
                    <w:tcBorders>
                      <w:top w:val="single" w:color="auto" w:sz="6" w:space="0"/>
                      <w:left w:val="single" w:color="auto" w:sz="6" w:space="0"/>
                      <w:bottom w:val="single" w:color="auto" w:sz="6" w:space="0"/>
                      <w:right w:val="single" w:color="auto" w:sz="6" w:space="0"/>
                    </w:tcBorders>
                    <w:vAlign w:val="center"/>
                  </w:tcPr>
                  <w:p>
                    <w:pPr>
                      <w:pStyle w:val="76"/>
                      <w:jc w:val="center"/>
                      <w:rPr>
                        <w:szCs w:val="21"/>
                      </w:rPr>
                    </w:pPr>
                    <w:r>
                      <w:rPr>
                        <w:rFonts w:hint="eastAsia"/>
                        <w:szCs w:val="21"/>
                      </w:rPr>
                      <w:t>上期发生额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cf16cf7ff9548dc8b24e9b30e22cdcc"/>
                <w:id w:val="25155394"/>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rPr>
                        <w:rFonts w:hint="eastAsia"/>
                        <w:szCs w:val="21"/>
                      </w:rPr>
                      <w:t>城市维护建设税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40,458,455.39</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r>
                  <w:t>5,946,321.58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a93da99d2b574d26b1c4d61b4ee79236"/>
                <w:id w:val="25155395"/>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rPr>
                        <w:rFonts w:hint="eastAsia"/>
                        <w:szCs w:val="21"/>
                      </w:rPr>
                      <w:t>教育费附加</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28,898,896.71</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r>
                  <w:t>4,247,372.55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dff1a5ad8e734dc1aa2e23b417599ecc"/>
                <w:id w:val="25155396"/>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rPr>
                        <w:rFonts w:hint="eastAsia"/>
                        <w:szCs w:val="21"/>
                      </w:rPr>
                      <w:t>资源税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b9d06144a0444b1fa73f16e038275ef3"/>
                <w:id w:val="25155397"/>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t>房产税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43,200.00</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r>
                  <w:t>43,200.00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56542612dda549b3b872b8d74818af22"/>
                <w:id w:val="25155398"/>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t>土地使用税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d9fbd1807768486db09587132cc0eacf"/>
                <w:id w:val="25155399"/>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t>车船使用税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67.73</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a0bc60e9b74b40a288471dbbe366af2d"/>
                <w:id w:val="25155400"/>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t>印花税</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665,893.67</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r>
                  <w:t>571,850.00</w:t>
                </w:r>
              </w:p>
            </w:tc>
          </w:tr>
          <w:sdt>
            <w:sdtPr>
              <w:rPr>
                <w:szCs w:val="21"/>
              </w:rPr>
              <w:alias w:val="税金及附加明细"/>
              <w:tag w:val="_GBC_ec40da632a7e4b998c9f045c23f7af1b"/>
              <w:id w:val="25155401"/>
              <w:lock w:val="sdtLocked"/>
            </w:sdtPr>
            <w:sdtEndPr>
              <w:rPr>
                <w:szCs w:val="21"/>
              </w:rPr>
            </w:sdtEndPr>
            <w:sdtConten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rPr>
                        <w:szCs w:val="21"/>
                      </w:rPr>
                    </w:pPr>
                    <w:r>
                      <w:rPr>
                        <w:rFonts w:hint="eastAsia"/>
                        <w:szCs w:val="21"/>
                      </w:rPr>
                      <w:t>环保税</w:t>
                    </w:r>
                  </w:p>
                </w:tc>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t>12,803,301.25</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p>
                </w:tc>
              </w:tr>
            </w:sdtContent>
          </w:sd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447085d4b34d4e7e8574b5b78f65bf27"/>
                <w:id w:val="25155402"/>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3018" w:type="dxa"/>
                <w:tcBorders>
                  <w:top w:val="single" w:color="auto" w:sz="6" w:space="0"/>
                  <w:left w:val="single" w:color="auto" w:sz="6" w:space="0"/>
                  <w:bottom w:val="single" w:color="auto" w:sz="6" w:space="0"/>
                  <w:right w:val="single" w:color="auto" w:sz="6" w:space="0"/>
                </w:tcBorders>
              </w:tcPr>
              <w:p>
                <w:pPr>
                  <w:pStyle w:val="76"/>
                  <w:autoSpaceDE w:val="0"/>
                  <w:autoSpaceDN w:val="0"/>
                  <w:adjustRightInd w:val="0"/>
                  <w:snapToGrid w:val="0"/>
                  <w:spacing w:line="240" w:lineRule="atLeast"/>
                  <w:jc w:val="right"/>
                  <w:rPr>
                    <w:szCs w:val="21"/>
                  </w:rPr>
                </w:pPr>
                <w:r>
                  <w:rPr>
                    <w:szCs w:val="21"/>
                  </w:rPr>
                  <w:t>82,869,814.75</w:t>
                </w:r>
              </w:p>
            </w:tc>
            <w:tc>
              <w:tcPr>
                <w:tcW w:w="3018" w:type="dxa"/>
                <w:tcBorders>
                  <w:top w:val="single" w:color="auto" w:sz="6" w:space="0"/>
                  <w:left w:val="single" w:color="auto" w:sz="6" w:space="0"/>
                  <w:bottom w:val="single" w:color="auto" w:sz="6" w:space="0"/>
                  <w:right w:val="single" w:color="auto" w:sz="6" w:space="0"/>
                </w:tcBorders>
              </w:tcPr>
              <w:p>
                <w:pPr>
                  <w:pStyle w:val="76"/>
                  <w:jc w:val="right"/>
                  <w:rPr>
                    <w:szCs w:val="21"/>
                  </w:rPr>
                </w:pPr>
                <w:r>
                  <w:rPr>
                    <w:szCs w:val="21"/>
                  </w:rPr>
                  <w:t>10,808,744.13</w:t>
                </w:r>
              </w:p>
            </w:tc>
          </w:tr>
        </w:tbl>
        <w:p>
          <w:pPr>
            <w:pStyle w:val="76"/>
          </w:pPr>
        </w:p>
        <w:p>
          <w:pPr>
            <w:pStyle w:val="76"/>
            <w:rPr>
              <w:szCs w:val="21"/>
            </w:rPr>
          </w:pPr>
        </w:p>
      </w:sdtContent>
    </w:sdt>
    <w:p>
      <w:pPr>
        <w:pStyle w:val="76"/>
        <w:rPr>
          <w:szCs w:val="21"/>
        </w:rPr>
      </w:pPr>
    </w:p>
    <w:sdt>
      <w:sdtPr>
        <w:rPr>
          <w:rFonts w:hint="eastAsia" w:ascii="宋体" w:hAnsi="宋体" w:cs="宋体"/>
          <w:b w:val="0"/>
          <w:bCs w:val="0"/>
          <w:kern w:val="0"/>
          <w:szCs w:val="21"/>
        </w:rPr>
        <w:alias w:val="模块:成本费用"/>
        <w:tag w:val="_GBC_3faa14b862dd44e8a54b6137b70adace"/>
        <w:id w:val="25155420"/>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46"/>
            </w:numPr>
            <w:tabs>
              <w:tab w:val="left" w:pos="504"/>
            </w:tabs>
            <w:rPr>
              <w:rFonts w:ascii="宋体" w:hAnsi="宋体" w:cs="宋体"/>
              <w:bCs w:val="0"/>
              <w:kern w:val="0"/>
              <w:szCs w:val="21"/>
            </w:rPr>
          </w:pPr>
          <w:r>
            <w:rPr>
              <w:rFonts w:hint="eastAsia" w:ascii="宋体" w:hAnsi="宋体" w:cs="宋体"/>
              <w:bCs w:val="0"/>
              <w:kern w:val="0"/>
              <w:szCs w:val="21"/>
            </w:rPr>
            <w:t>销售费用</w:t>
          </w:r>
        </w:p>
        <w:sdt>
          <w:sdtPr>
            <w:alias w:val="是否适用：销售费用[双击切换]"/>
            <w:tag w:val="_GBC_5302d6af48674660a2279c7c8a87bb8c"/>
            <w:id w:val="2515540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销售费用"/>
              <w:tag w:val="_GBC_893203a5a3df44649aef388407d22c68"/>
              <w:id w:val="25155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销售费用"/>
              <w:tag w:val="_GBC_4954a9fca98d4f279270fb28f987aa6f"/>
              <w:id w:val="251554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285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c47970a3b145c98f438f3cb34ff636"/>
                <w:id w:val="25155408"/>
                <w:lock w:val="sdtLocked"/>
              </w:sdt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项目</w:t>
                    </w:r>
                  </w:p>
                </w:tc>
              </w:sdtContent>
            </w:sdt>
            <w:sdt>
              <w:sdtPr>
                <w:tag w:val="_PLD_b3ce435531054240b373e649bc9ae7a1"/>
                <w:id w:val="25155409"/>
                <w:lock w:val="sdtLocked"/>
              </w:sdtPr>
              <w:sdtContent>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本期发生额</w:t>
                    </w:r>
                  </w:p>
                </w:tc>
              </w:sdtContent>
            </w:sdt>
            <w:sdt>
              <w:sdtPr>
                <w:tag w:val="_PLD_9480cd5806624557b975b5d0ce06575b"/>
                <w:id w:val="25155410"/>
                <w:lock w:val="sdtLocked"/>
              </w:sdtPr>
              <w:sdtContent>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上期发生额</w:t>
                    </w:r>
                  </w:p>
                </w:tc>
              </w:sdtContent>
            </w:sdt>
          </w:tr>
          <w:sdt>
            <w:sdtPr>
              <w:rPr>
                <w:szCs w:val="21"/>
              </w:rPr>
              <w:alias w:val="销售费用明细"/>
              <w:tag w:val="_GBC_8b0e6f0534ed42879aaed18b46dbec7d"/>
              <w:id w:val="25155411"/>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职工薪酬</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18,477,715.32</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15,780,756.29</w:t>
                    </w:r>
                  </w:p>
                </w:tc>
              </w:tr>
            </w:sdtContent>
          </w:sdt>
          <w:sdt>
            <w:sdtPr>
              <w:rPr>
                <w:szCs w:val="21"/>
              </w:rPr>
              <w:alias w:val="销售费用明细"/>
              <w:tag w:val="_GBC_8b0e6f0534ed42879aaed18b46dbec7d"/>
              <w:id w:val="2515541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折旧费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939,922.26</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939,922.26</w:t>
                    </w:r>
                  </w:p>
                </w:tc>
              </w:tr>
            </w:sdtContent>
          </w:sdt>
          <w:sdt>
            <w:sdtPr>
              <w:rPr>
                <w:szCs w:val="21"/>
              </w:rPr>
              <w:alias w:val="销售费用明细"/>
              <w:tag w:val="_GBC_8b0e6f0534ed42879aaed18b46dbec7d"/>
              <w:id w:val="2515541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办公费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176,451.29</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195,125.80</w:t>
                    </w:r>
                  </w:p>
                </w:tc>
              </w:tr>
            </w:sdtContent>
          </w:sdt>
          <w:sdt>
            <w:sdtPr>
              <w:rPr>
                <w:szCs w:val="21"/>
              </w:rPr>
              <w:alias w:val="销售费用明细"/>
              <w:tag w:val="_GBC_8b0e6f0534ed42879aaed18b46dbec7d"/>
              <w:id w:val="25155414"/>
              <w:lock w:val="sdtLocked"/>
            </w:sdtPr>
            <w:sdtEndPr>
              <w:rPr>
                <w:szCs w:val="21"/>
              </w:rPr>
            </w:sdtEndPr>
            <w:sdtContent>
              <w:tr>
                <w:tblPrEx>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差旅费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214,057.89</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219,215.64</w:t>
                    </w:r>
                  </w:p>
                </w:tc>
              </w:tr>
            </w:sdtContent>
          </w:sdt>
          <w:sdt>
            <w:sdtPr>
              <w:rPr>
                <w:szCs w:val="21"/>
              </w:rPr>
              <w:alias w:val="销售费用明细"/>
              <w:tag w:val="_GBC_8b0e6f0534ed42879aaed18b46dbec7d"/>
              <w:id w:val="25155415"/>
              <w:lock w:val="sdtLocked"/>
            </w:sdtPr>
            <w:sdtEndPr>
              <w:rPr>
                <w:szCs w:val="21"/>
              </w:rPr>
            </w:sdtEndPr>
            <w:sdtContent>
              <w:tr>
                <w:tblPrEx>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水电费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50,182.18</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47,783.11</w:t>
                    </w:r>
                  </w:p>
                </w:tc>
              </w:tr>
            </w:sdtContent>
          </w:sdt>
          <w:sdt>
            <w:sdtPr>
              <w:rPr>
                <w:szCs w:val="21"/>
              </w:rPr>
              <w:alias w:val="销售费用明细"/>
              <w:tag w:val="_GBC_8b0e6f0534ed42879aaed18b46dbec7d"/>
              <w:id w:val="25155416"/>
              <w:lock w:val="sdtLocked"/>
            </w:sdtPr>
            <w:sdtEndPr>
              <w:rPr>
                <w:szCs w:val="21"/>
              </w:rPr>
            </w:sdtEndPr>
            <w:sdtContent>
              <w:tr>
                <w:tblPrEx>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运输费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4,873,149.63</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1,678,193.95</w:t>
                    </w:r>
                  </w:p>
                </w:tc>
              </w:tr>
            </w:sdtContent>
          </w:sdt>
          <w:sdt>
            <w:sdtPr>
              <w:rPr>
                <w:szCs w:val="21"/>
              </w:rPr>
              <w:alias w:val="销售费用明细"/>
              <w:tag w:val="_GBC_8b0e6f0534ed42879aaed18b46dbec7d"/>
              <w:id w:val="25155417"/>
              <w:lock w:val="sdtLocked"/>
            </w:sdtPr>
            <w:sdtEndPr>
              <w:rPr>
                <w:szCs w:val="21"/>
              </w:rPr>
            </w:sdtEndPr>
            <w:sdtContent>
              <w:tr>
                <w:tblPrEx>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szCs w:val="21"/>
                      </w:rPr>
                    </w:pPr>
                    <w:r>
                      <w:t>其他</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593,645.97</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right"/>
                      <w:rPr>
                        <w:szCs w:val="21"/>
                      </w:rPr>
                    </w:pPr>
                    <w:r>
                      <w:t>1,743,888.78</w:t>
                    </w:r>
                  </w:p>
                </w:tc>
              </w:tr>
            </w:sdtContent>
          </w:sdt>
          <w:tr>
            <w:tblPrEx>
              <w:tblLayout w:type="fixed"/>
              <w:tblCellMar>
                <w:top w:w="0" w:type="dxa"/>
                <w:left w:w="108" w:type="dxa"/>
                <w:bottom w:w="0" w:type="dxa"/>
                <w:right w:w="108" w:type="dxa"/>
              </w:tblCellMar>
            </w:tblPrEx>
            <w:sdt>
              <w:sdtPr>
                <w:tag w:val="_PLD_bb83cc20a1fb4ed7973343e471dad9ef"/>
                <w:id w:val="25155418"/>
                <w:lock w:val="sdtLocked"/>
              </w:sdt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合计</w:t>
                    </w:r>
                  </w:p>
                </w:tc>
              </w:sdtContent>
            </w:sdt>
            <w:tc>
              <w:tcPr>
                <w:tcW w:w="285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25,325,124.54</w:t>
                </w:r>
              </w:p>
            </w:tc>
            <w:tc>
              <w:tcPr>
                <w:tcW w:w="285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20,604,885.83</w:t>
                </w:r>
              </w:p>
            </w:tc>
          </w:tr>
        </w:tbl>
        <w:p>
          <w:pPr>
            <w:pStyle w:val="76"/>
          </w:pPr>
        </w:p>
        <w:p>
          <w:pPr>
            <w:pStyle w:val="76"/>
            <w:rPr>
              <w:szCs w:val="21"/>
            </w:rPr>
          </w:pPr>
        </w:p>
      </w:sdtContent>
    </w:sdt>
    <w:p>
      <w:pPr>
        <w:pStyle w:val="76"/>
        <w:rPr>
          <w:szCs w:val="21"/>
        </w:rPr>
      </w:pPr>
    </w:p>
    <w:sdt>
      <w:sdtPr>
        <w:rPr>
          <w:rFonts w:hint="eastAsia" w:ascii="宋体" w:hAnsi="宋体" w:cs="宋体"/>
          <w:b w:val="0"/>
          <w:bCs w:val="0"/>
          <w:kern w:val="0"/>
          <w:szCs w:val="21"/>
        </w:rPr>
        <w:alias w:val="模块:管理费用"/>
        <w:tag w:val="_GBC_d5a6283bdea64513980a0cc618e2ec60"/>
        <w:id w:val="25155444"/>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szCs w:val="21"/>
            </w:rPr>
          </w:pPr>
          <w:r>
            <w:rPr>
              <w:rFonts w:hint="eastAsia"/>
              <w:szCs w:val="21"/>
            </w:rPr>
            <w:t>管理费用</w:t>
          </w:r>
        </w:p>
        <w:sdt>
          <w:sdtPr>
            <w:alias w:val="是否适用：管理费用[双击切换]"/>
            <w:tag w:val="_GBC_864c9dd9adce435698261f1da02ab8fb"/>
            <w:id w:val="2515542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管理费用"/>
              <w:tag w:val="_GBC_b8198aec3f7748d28785c1eebbf02df7"/>
              <w:id w:val="251554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251554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49fd0c096ba421285089a0fada9d43a"/>
                <w:id w:val="25155424"/>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项目</w:t>
                    </w:r>
                  </w:p>
                </w:tc>
              </w:sdtContent>
            </w:sdt>
            <w:sdt>
              <w:sdtPr>
                <w:tag w:val="_PLD_acf5bcbf929244268be56ad5d0f3ea18"/>
                <w:id w:val="25155425"/>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本期发生额</w:t>
                    </w:r>
                  </w:p>
                </w:tc>
              </w:sdtContent>
            </w:sdt>
            <w:sdt>
              <w:sdtPr>
                <w:tag w:val="_PLD_d37d8a59d4d74c26ac22dc33983efa29"/>
                <w:id w:val="25155426"/>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上期发生额</w:t>
                    </w:r>
                  </w:p>
                </w:tc>
              </w:sdtContent>
            </w:sdt>
          </w:tr>
          <w:sdt>
            <w:sdtPr>
              <w:rPr>
                <w:rFonts w:hint="eastAsia"/>
              </w:rPr>
              <w:alias w:val="管理费用明细"/>
              <w:tag w:val="_GBC_1330575ab4a44e46920401d3d7599402"/>
              <w:id w:val="2515542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职工薪酬</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193,596,143.08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134,472,505.41</w:t>
                    </w:r>
                  </w:p>
                </w:tc>
              </w:tr>
            </w:sdtContent>
          </w:sdt>
          <w:sdt>
            <w:sdtPr>
              <w:rPr>
                <w:rFonts w:hint="eastAsia"/>
              </w:rPr>
              <w:alias w:val="管理费用明细"/>
              <w:tag w:val="_GBC_1330575ab4a44e46920401d3d7599402"/>
              <w:id w:val="2515542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水利建设基金</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9,195,478.79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18,936,920.50</w:t>
                    </w:r>
                  </w:p>
                </w:tc>
              </w:tr>
            </w:sdtContent>
          </w:sdt>
          <w:sdt>
            <w:sdtPr>
              <w:rPr>
                <w:rFonts w:hint="eastAsia"/>
              </w:rPr>
              <w:alias w:val="管理费用明细"/>
              <w:tag w:val="_GBC_1330575ab4a44e46920401d3d7599402"/>
              <w:id w:val="2515542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折旧费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308,806.14</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59,456.04</w:t>
                    </w:r>
                  </w:p>
                </w:tc>
              </w:tr>
            </w:sdtContent>
          </w:sdt>
          <w:sdt>
            <w:sdtPr>
              <w:rPr>
                <w:rFonts w:hint="eastAsia"/>
              </w:rPr>
              <w:alias w:val="管理费用明细"/>
              <w:tag w:val="_GBC_1330575ab4a44e46920401d3d7599402"/>
              <w:id w:val="2515543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修理费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669,105.42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601,499.58</w:t>
                    </w:r>
                  </w:p>
                </w:tc>
              </w:tr>
            </w:sdtContent>
          </w:sdt>
          <w:sdt>
            <w:sdtPr>
              <w:rPr>
                <w:rFonts w:hint="eastAsia"/>
              </w:rPr>
              <w:alias w:val="管理费用明细"/>
              <w:tag w:val="_GBC_1330575ab4a44e46920401d3d7599402"/>
              <w:id w:val="2515543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研发费用</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71,893,267.72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25,002,857.74</w:t>
                    </w:r>
                  </w:p>
                </w:tc>
              </w:tr>
            </w:sdtContent>
          </w:sdt>
          <w:sdt>
            <w:sdtPr>
              <w:rPr>
                <w:rFonts w:hint="eastAsia"/>
              </w:rPr>
              <w:alias w:val="管理费用明细"/>
              <w:tag w:val="_GBC_1330575ab4a44e46920401d3d7599402"/>
              <w:id w:val="2515543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办公费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640,156.51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751,451.35</w:t>
                    </w:r>
                  </w:p>
                </w:tc>
              </w:tr>
            </w:sdtContent>
          </w:sdt>
          <w:sdt>
            <w:sdtPr>
              <w:rPr>
                <w:rFonts w:hint="eastAsia"/>
              </w:rPr>
              <w:alias w:val="管理费用明细"/>
              <w:tag w:val="_GBC_1330575ab4a44e46920401d3d7599402"/>
              <w:id w:val="2515543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水电费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560,361.61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477,546.07</w:t>
                    </w:r>
                  </w:p>
                </w:tc>
              </w:tr>
            </w:sdtContent>
          </w:sdt>
          <w:sdt>
            <w:sdtPr>
              <w:rPr>
                <w:rFonts w:hint="eastAsia"/>
              </w:rPr>
              <w:alias w:val="管理费用明细"/>
              <w:tag w:val="_GBC_1330575ab4a44e46920401d3d7599402"/>
              <w:id w:val="2515543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差旅费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391,862.21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163,474.83</w:t>
                    </w:r>
                  </w:p>
                </w:tc>
              </w:tr>
            </w:sdtContent>
          </w:sdt>
          <w:sdt>
            <w:sdtPr>
              <w:rPr>
                <w:rFonts w:hint="eastAsia"/>
              </w:rPr>
              <w:alias w:val="管理费用明细"/>
              <w:tag w:val="_GBC_1330575ab4a44e46920401d3d7599402"/>
              <w:id w:val="2515543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材料消耗</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2,038,713.00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1,220,662.80</w:t>
                    </w:r>
                  </w:p>
                </w:tc>
              </w:tr>
            </w:sdtContent>
          </w:sdt>
          <w:sdt>
            <w:sdtPr>
              <w:rPr>
                <w:rFonts w:hint="eastAsia"/>
              </w:rPr>
              <w:alias w:val="管理费用明细"/>
              <w:tag w:val="_GBC_1330575ab4a44e46920401d3d7599402"/>
              <w:id w:val="2515543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聘请中介费用</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4,282,928.75</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738,207.53</w:t>
                    </w:r>
                  </w:p>
                </w:tc>
              </w:tr>
            </w:sdtContent>
          </w:sdt>
          <w:sdt>
            <w:sdtPr>
              <w:rPr>
                <w:rFonts w:hint="eastAsia"/>
              </w:rPr>
              <w:alias w:val="管理费用明细"/>
              <w:tag w:val="_GBC_1330575ab4a44e46920401d3d7599402"/>
              <w:id w:val="2515543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业务招待费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199,311.69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652,187.31</w:t>
                    </w:r>
                  </w:p>
                </w:tc>
              </w:tr>
            </w:sdtContent>
          </w:sdt>
          <w:sdt>
            <w:sdtPr>
              <w:rPr>
                <w:rFonts w:hint="eastAsia"/>
              </w:rPr>
              <w:alias w:val="管理费用明细"/>
              <w:tag w:val="_GBC_1330575ab4a44e46920401d3d7599402"/>
              <w:id w:val="2515543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董事会会费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12,751.00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9,255.00</w:t>
                    </w:r>
                  </w:p>
                </w:tc>
              </w:tr>
            </w:sdtContent>
          </w:sdt>
          <w:sdt>
            <w:sdtPr>
              <w:rPr>
                <w:rFonts w:hint="eastAsia"/>
              </w:rPr>
              <w:alias w:val="管理费用明细"/>
              <w:tag w:val="_GBC_1330575ab4a44e46920401d3d7599402"/>
              <w:id w:val="2515543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租赁费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14,457,001.68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5,063,065.14</w:t>
                    </w:r>
                  </w:p>
                </w:tc>
              </w:tr>
            </w:sdtContent>
          </w:sdt>
          <w:sdt>
            <w:sdtPr>
              <w:rPr>
                <w:rFonts w:hint="eastAsia"/>
              </w:rPr>
              <w:alias w:val="管理费用明细"/>
              <w:tag w:val="_GBC_1330575ab4a44e46920401d3d7599402"/>
              <w:id w:val="2515544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安全生产费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215,000.02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230,000.00</w:t>
                    </w:r>
                  </w:p>
                </w:tc>
              </w:tr>
            </w:sdtContent>
          </w:sdt>
          <w:sdt>
            <w:sdtPr>
              <w:rPr>
                <w:rFonts w:hint="eastAsia"/>
              </w:rPr>
              <w:alias w:val="管理费用明细"/>
              <w:tag w:val="_GBC_1330575ab4a44e46920401d3d7599402"/>
              <w:id w:val="2515544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rPr>
                        <w:rFonts w:hint="eastAsia"/>
                      </w:rPr>
                      <w:t>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rPr>
                        <w:rFonts w:hint="eastAsia"/>
                        <w:sz w:val="20"/>
                        <w:szCs w:val="20"/>
                      </w:rPr>
                      <w:t>8,132,132.37</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6,061,120.57</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574943c0c74f868555494c72b6afa6"/>
                <w:id w:val="25155442"/>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306,593,019.99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194,440,209.87</w:t>
                </w:r>
              </w:p>
            </w:tc>
          </w:tr>
        </w:tbl>
        <w:p>
          <w:pPr>
            <w:pStyle w:val="76"/>
          </w:pPr>
        </w:p>
        <w:p>
          <w:pPr>
            <w:pStyle w:val="76"/>
            <w:rPr>
              <w:szCs w:val="21"/>
            </w:rPr>
          </w:pPr>
        </w:p>
      </w:sdtContent>
    </w:sdt>
    <w:p>
      <w:pPr>
        <w:pStyle w:val="76"/>
        <w:rPr>
          <w:szCs w:val="21"/>
        </w:rPr>
      </w:pPr>
    </w:p>
    <w:sdt>
      <w:sdtPr>
        <w:rPr>
          <w:rFonts w:hint="eastAsia" w:ascii="宋体" w:hAnsi="宋体" w:cs="宋体"/>
          <w:b w:val="0"/>
          <w:bCs w:val="0"/>
          <w:kern w:val="0"/>
          <w:szCs w:val="21"/>
        </w:rPr>
        <w:alias w:val="模块:财务费用"/>
        <w:tag w:val="_GBC_aeeadad5456b4097a79668e5a1cadb17"/>
        <w:id w:val="25155456"/>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szCs w:val="21"/>
            </w:rPr>
          </w:pPr>
          <w:r>
            <w:rPr>
              <w:rFonts w:hint="eastAsia"/>
              <w:szCs w:val="21"/>
            </w:rPr>
            <w:t>财务费用</w:t>
          </w:r>
        </w:p>
        <w:sdt>
          <w:sdtPr>
            <w:alias w:val="是否适用：财务费用[双击切换]"/>
            <w:tag w:val="_GBC_699d8bdb2f1f4504a0ea4ccbc8889cfa"/>
            <w:id w:val="2515544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费用"/>
              <w:tag w:val="_GBC_eb9e02dce68144759561a3427fb3099a"/>
              <w:id w:val="251554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251554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57c227174f044c4bfa2c0fda1e37156"/>
                <w:id w:val="25155448"/>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项目</w:t>
                    </w:r>
                  </w:p>
                </w:tc>
              </w:sdtContent>
            </w:sdt>
            <w:sdt>
              <w:sdtPr>
                <w:tag w:val="_PLD_d7b23aa0bcb6433894875c858270ab7f"/>
                <w:id w:val="25155449"/>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本期发生额</w:t>
                    </w:r>
                  </w:p>
                </w:tc>
              </w:sdtContent>
            </w:sdt>
            <w:sdt>
              <w:sdtPr>
                <w:tag w:val="_PLD_d79245f93e3d475b953b3e44bb1c6425"/>
                <w:id w:val="25155450"/>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上期发生额</w:t>
                    </w:r>
                  </w:p>
                </w:tc>
              </w:sdtContent>
            </w:sdt>
          </w:tr>
          <w:sdt>
            <w:sdtPr>
              <w:rPr>
                <w:rFonts w:hint="eastAsia"/>
              </w:rPr>
              <w:alias w:val="财务费用明细"/>
              <w:tag w:val="_GBC_6315cf92135646dfa5694359777c36b0"/>
              <w:id w:val="2515545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利息支出</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120,455,807.92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195,306,594.58</w:t>
                    </w:r>
                  </w:p>
                </w:tc>
              </w:tr>
            </w:sdtContent>
          </w:sdt>
          <w:sdt>
            <w:sdtPr>
              <w:rPr>
                <w:rFonts w:hint="eastAsia"/>
              </w:rPr>
              <w:alias w:val="财务费用明细"/>
              <w:tag w:val="_GBC_6315cf92135646dfa5694359777c36b0"/>
              <w:id w:val="2515545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t>汇兑损益</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38,335,380.61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-96,913,300.83</w:t>
                    </w:r>
                  </w:p>
                </w:tc>
              </w:tr>
            </w:sdtContent>
          </w:sdt>
          <w:sdt>
            <w:sdtPr>
              <w:rPr>
                <w:rFonts w:hint="eastAsia"/>
              </w:rPr>
              <w:alias w:val="财务费用明细"/>
              <w:tag w:val="_GBC_6315cf92135646dfa5694359777c36b0"/>
              <w:id w:val="2515545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pPr>
                    <w:r>
                      <w:rPr>
                        <w:rFonts w:hint="eastAsia"/>
                      </w:rPr>
                      <w:t>手续费及其他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4,451,350.82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4,881,800.13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965316bcaf4972b01a6dd60323d7f4"/>
                <w:id w:val="25155454"/>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163,242,539.35</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right"/>
                </w:pPr>
                <w:r>
                  <w:t>103,275,093.88</w:t>
                </w:r>
              </w:p>
            </w:tc>
          </w:tr>
        </w:tbl>
        <w:p>
          <w:pPr>
            <w:pStyle w:val="76"/>
          </w:pPr>
        </w:p>
        <w:p>
          <w:pPr>
            <w:pStyle w:val="76"/>
            <w:rPr>
              <w:szCs w:val="21"/>
            </w:rPr>
          </w:pPr>
        </w:p>
      </w:sdtContent>
    </w:sdt>
    <w:p>
      <w:pPr>
        <w:pStyle w:val="76"/>
        <w:rPr>
          <w:szCs w:val="21"/>
        </w:rPr>
      </w:pPr>
    </w:p>
    <w:sdt>
      <w:sdtPr>
        <w:rPr>
          <w:rFonts w:hint="eastAsia" w:ascii="宋体" w:hAnsi="宋体" w:cs="宋体"/>
          <w:b w:val="0"/>
          <w:bCs w:val="0"/>
          <w:kern w:val="0"/>
          <w:szCs w:val="21"/>
        </w:rPr>
        <w:alias w:val="模块:资产减值损失"/>
        <w:tag w:val="_GBC_e0187e33fb024605af673daabe2f7861"/>
        <w:id w:val="25155458"/>
        <w:lock w:val="sdtLocked"/>
        <w:placeholder>
          <w:docPart w:val="GBC22222222222222222222222222222"/>
        </w:placeholder>
      </w:sdtPr>
      <w:sdtEndPr>
        <w:rPr>
          <w:rFonts w:hint="default" w:cs="宋体" w:asciiTheme="minorHAnsi" w:hAnsiTheme="minorHAnsi" w:eastAsiaTheme="minorEastAsia"/>
          <w:b w:val="0"/>
          <w:bCs w:val="0"/>
          <w:kern w:val="0"/>
          <w:szCs w:val="22"/>
        </w:rPr>
      </w:sdtEndPr>
      <w:sdtContent>
        <w:p>
          <w:pPr>
            <w:pStyle w:val="79"/>
            <w:numPr>
              <w:ilvl w:val="0"/>
              <w:numId w:val="46"/>
            </w:numPr>
            <w:tabs>
              <w:tab w:val="left" w:pos="504"/>
            </w:tabs>
            <w:rPr>
              <w:rFonts w:ascii="宋体" w:hAnsi="宋体"/>
              <w:szCs w:val="21"/>
            </w:rPr>
          </w:pPr>
          <w:r>
            <w:rPr>
              <w:rFonts w:hint="eastAsia" w:ascii="宋体" w:hAnsi="宋体"/>
              <w:bCs w:val="0"/>
              <w:szCs w:val="21"/>
            </w:rPr>
            <w:t>资</w:t>
          </w:r>
          <w:r>
            <w:rPr>
              <w:rFonts w:hint="eastAsia" w:ascii="宋体" w:hAnsi="宋体"/>
              <w:szCs w:val="21"/>
            </w:rPr>
            <w:t>产减值损失</w:t>
          </w:r>
        </w:p>
        <w:sdt>
          <w:sdtPr>
            <w:alias w:val="是否适用：资产减值损失[双击切换]"/>
            <w:tag w:val="_GBC_7fdc5881d69a48d59383942dbd2c2a3e"/>
            <w:id w:val="2515545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宋体" w:hAnsi="宋体" w:cs="宋体"/>
          <w:b w:val="0"/>
          <w:bCs w:val="0"/>
          <w:kern w:val="0"/>
          <w:szCs w:val="21"/>
        </w:rPr>
        <w:alias w:val="模块:公允价值变动收益"/>
        <w:tag w:val="_GBC_66e6cb51ec7740408a31ff233ae3330d"/>
        <w:id w:val="25155469"/>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46"/>
            </w:numPr>
            <w:tabs>
              <w:tab w:val="left" w:pos="504"/>
            </w:tabs>
            <w:rPr>
              <w:rFonts w:ascii="宋体" w:hAnsi="宋体"/>
              <w:szCs w:val="21"/>
            </w:rPr>
          </w:pPr>
          <w:r>
            <w:rPr>
              <w:rFonts w:hint="eastAsia" w:ascii="宋体" w:hAnsi="宋体"/>
              <w:szCs w:val="21"/>
            </w:rPr>
            <w:t>公允价值变动收益</w:t>
          </w:r>
        </w:p>
        <w:sdt>
          <w:sdtPr>
            <w:alias w:val="是否适用：公允价值变动收益[双击切换]"/>
            <w:tag w:val="_GBC_21669fdeb74c4273a55facece1a56109"/>
            <w:id w:val="2515545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公允价值变动收益"/>
              <w:tag w:val="_GBC_a2b6fb2423244bbaa3600e1be3b4d548"/>
              <w:id w:val="25155460"/>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2515546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842"/>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48f5947f1d144f47a6f7e7f6f3b20c50"/>
                <w:id w:val="25155462"/>
                <w:lock w:val="sdtLocked"/>
              </w:sdtPr>
              <w:sdtContent>
                <w:tc>
                  <w:tcPr>
                    <w:tcW w:w="507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产生公允价值变动收益的来源</w:t>
                    </w:r>
                  </w:p>
                </w:tc>
              </w:sdtContent>
            </w:sdt>
            <w:sdt>
              <w:sdtPr>
                <w:tag w:val="_PLD_b6373ce0c4a743a590c244577778bb24"/>
                <w:id w:val="25155463"/>
                <w:lock w:val="sdtLocked"/>
              </w:sdtPr>
              <w:sdtContent>
                <w:tc>
                  <w:tcPr>
                    <w:tcW w:w="184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本期发生额</w:t>
                    </w:r>
                  </w:p>
                </w:tc>
              </w:sdtContent>
            </w:sdt>
            <w:sdt>
              <w:sdtPr>
                <w:tag w:val="_PLD_bfdfb5f7294e4118b9f066811a3e0ece"/>
                <w:id w:val="25155464"/>
                <w:lock w:val="sdtLocked"/>
              </w:sdtPr>
              <w:sdtContent>
                <w:tc>
                  <w:tcPr>
                    <w:tcW w:w="2137"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c8e07bcab87488ead63553b52e8369c"/>
                <w:id w:val="25155465"/>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以公允价值计量的且其变动计入当期损益的金融资产</w:t>
                    </w:r>
                  </w:p>
                </w:tc>
              </w:sdtContent>
            </w:sdt>
            <w:tc>
              <w:tcPr>
                <w:tcW w:w="1842"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c>
              <w:tcPr>
                <w:tcW w:w="2137"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rPr>
                    <w:szCs w:val="21"/>
                  </w:rPr>
                  <w:t>-937,710.34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56ac0babf74f2eb86c8dcd368a0cd9"/>
                <w:id w:val="25155466"/>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其中：衍生金融工具产生的公允价值变动收益</w:t>
                    </w:r>
                  </w:p>
                </w:tc>
              </w:sdtContent>
            </w:sdt>
            <w:tc>
              <w:tcPr>
                <w:tcW w:w="1842"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c>
              <w:tcPr>
                <w:tcW w:w="2137"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c0d10ba165a4a15b4872c02b0c6c22a"/>
                <w:id w:val="25155467"/>
                <w:lock w:val="sdtLocked"/>
              </w:sdtPr>
              <w:sdtContent>
                <w:tc>
                  <w:tcPr>
                    <w:tcW w:w="507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合计</w:t>
                    </w:r>
                  </w:p>
                </w:tc>
              </w:sdtContent>
            </w:sdt>
            <w:tc>
              <w:tcPr>
                <w:tcW w:w="1842"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7"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rPr>
                    <w:szCs w:val="21"/>
                  </w:rPr>
                  <w:t>-937,710.34</w:t>
                </w:r>
              </w:p>
            </w:tc>
          </w:tr>
        </w:tbl>
        <w:p>
          <w:pPr>
            <w:pStyle w:val="76"/>
            <w:spacing w:before="60" w:after="60"/>
            <w:rPr>
              <w:szCs w:val="21"/>
            </w:rPr>
          </w:pPr>
          <w:r>
            <w:rPr>
              <w:rFonts w:hint="eastAsia"/>
              <w:szCs w:val="21"/>
            </w:rPr>
            <w:t>其他说明：</w:t>
          </w:r>
        </w:p>
        <w:sdt>
          <w:sdtPr>
            <w:rPr>
              <w:rFonts w:hint="eastAsia"/>
              <w:szCs w:val="21"/>
            </w:rPr>
            <w:alias w:val="公允价值变动收益的说明"/>
            <w:tag w:val="_GBC_ca97bf4455704ba1b8c90a97a9d856f0"/>
            <w:id w:val="25155468"/>
            <w:lock w:val="sdtLocked"/>
          </w:sdtPr>
          <w:sdtEndPr>
            <w:rPr>
              <w:rFonts w:hint="eastAsia"/>
              <w:szCs w:val="21"/>
            </w:rPr>
          </w:sdtEndPr>
          <w:sdtContent>
            <w:p>
              <w:pPr>
                <w:pStyle w:val="76"/>
                <w:rPr>
                  <w:szCs w:val="21"/>
                </w:rPr>
              </w:pPr>
              <w:r>
                <w:rPr>
                  <w:rFonts w:hint="eastAsia"/>
                  <w:szCs w:val="21"/>
                </w:rPr>
                <w:t>公司公允价值变动损益全部为证券投资期末市值变动产生的损益。</w:t>
              </w:r>
            </w:p>
          </w:sdtContent>
        </w:sdt>
        <w:p>
          <w:pPr>
            <w:pStyle w:val="76"/>
            <w:rPr>
              <w:szCs w:val="21"/>
            </w:rPr>
          </w:pPr>
        </w:p>
      </w:sdtContent>
    </w:sdt>
    <w:p>
      <w:pPr>
        <w:pStyle w:val="76"/>
        <w:rPr>
          <w:szCs w:val="21"/>
        </w:rPr>
      </w:pPr>
    </w:p>
    <w:p>
      <w:pPr>
        <w:pStyle w:val="79"/>
        <w:numPr>
          <w:ilvl w:val="0"/>
          <w:numId w:val="46"/>
        </w:numPr>
        <w:tabs>
          <w:tab w:val="left" w:pos="504"/>
        </w:tabs>
        <w:rPr>
          <w:rFonts w:ascii="宋体" w:hAnsi="宋体"/>
          <w:szCs w:val="21"/>
        </w:rPr>
      </w:pPr>
      <w:r>
        <w:rPr>
          <w:rFonts w:hint="eastAsia" w:ascii="宋体" w:hAnsi="宋体"/>
          <w:szCs w:val="21"/>
        </w:rPr>
        <w:t>投资收益</w:t>
      </w:r>
    </w:p>
    <w:sdt>
      <w:sdtPr>
        <w:alias w:val="是否适用：投资收益[双击切换]"/>
        <w:tag w:val="_GBC_39356fd9dd9e4f5497d61d781210b2fe"/>
        <w:id w:val="2515547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
          <w:szCs w:val="21"/>
        </w:rPr>
        <w:alias w:val="模块:投资收益"/>
        <w:tag w:val="_GBC_8958442580a74890aabdb81fa58a53f7"/>
        <w:id w:val="25155481"/>
        <w:lock w:val="sdtLocked"/>
        <w:placeholder>
          <w:docPart w:val="GBC22222222222222222222222222222"/>
        </w:placeholder>
      </w:sdtPr>
      <w:sdtEndPr>
        <w:rPr>
          <w:b/>
          <w:szCs w:val="21"/>
        </w:rPr>
      </w:sdtEndPr>
      <w:sdtContent>
        <w:p>
          <w:pPr>
            <w:pStyle w:val="76"/>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251554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251554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98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d51ea3b53934adda071bb6c003fd44f"/>
                <w:id w:val="25155473"/>
                <w:lock w:val="sdtLocked"/>
              </w:sdtPr>
              <w:sdtContent>
                <w:tc>
                  <w:tcPr>
                    <w:tcW w:w="4928" w:type="dxa"/>
                    <w:vAlign w:val="center"/>
                  </w:tcPr>
                  <w:p>
                    <w:pPr>
                      <w:pStyle w:val="76"/>
                      <w:ind w:left="420" w:hanging="420"/>
                      <w:jc w:val="center"/>
                      <w:rPr>
                        <w:szCs w:val="21"/>
                      </w:rPr>
                    </w:pPr>
                    <w:r>
                      <w:rPr>
                        <w:rFonts w:hint="eastAsia"/>
                        <w:szCs w:val="21"/>
                      </w:rPr>
                      <w:t>项目</w:t>
                    </w:r>
                  </w:p>
                </w:tc>
              </w:sdtContent>
            </w:sdt>
            <w:sdt>
              <w:sdtPr>
                <w:tag w:val="_PLD_bc29902d369147c7b623b240802f5474"/>
                <w:id w:val="25155474"/>
                <w:lock w:val="sdtLocked"/>
              </w:sdtPr>
              <w:sdtContent>
                <w:tc>
                  <w:tcPr>
                    <w:tcW w:w="1984" w:type="dxa"/>
                    <w:vAlign w:val="center"/>
                  </w:tcPr>
                  <w:p>
                    <w:pPr>
                      <w:pStyle w:val="76"/>
                      <w:jc w:val="center"/>
                      <w:rPr>
                        <w:szCs w:val="21"/>
                      </w:rPr>
                    </w:pPr>
                    <w:r>
                      <w:rPr>
                        <w:rFonts w:hint="eastAsia"/>
                        <w:szCs w:val="21"/>
                      </w:rPr>
                      <w:t>本期发生额</w:t>
                    </w:r>
                  </w:p>
                </w:tc>
              </w:sdtContent>
            </w:sdt>
            <w:sdt>
              <w:sdtPr>
                <w:tag w:val="_PLD_103a47c3d5da463d9de8d1cff72e71c8"/>
                <w:id w:val="25155475"/>
                <w:lock w:val="sdtLocked"/>
              </w:sdtPr>
              <w:sdtContent>
                <w:tc>
                  <w:tcPr>
                    <w:tcW w:w="2137" w:type="dxa"/>
                    <w:vAlign w:val="center"/>
                  </w:tcPr>
                  <w:p>
                    <w:pPr>
                      <w:pStyle w:val="76"/>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31ed9ff593454b91168a7c8a9cdb53"/>
                <w:id w:val="25155476"/>
                <w:lock w:val="sdtLocked"/>
              </w:sdtPr>
              <w:sdtContent>
                <w:tc>
                  <w:tcPr>
                    <w:tcW w:w="4928" w:type="dxa"/>
                  </w:tcPr>
                  <w:p>
                    <w:pPr>
                      <w:pStyle w:val="76"/>
                      <w:rPr>
                        <w:szCs w:val="21"/>
                      </w:rPr>
                    </w:pPr>
                    <w:r>
                      <w:rPr>
                        <w:rFonts w:hint="eastAsia"/>
                        <w:szCs w:val="21"/>
                      </w:rPr>
                      <w:t>权益法核算的长期股权投资收益</w:t>
                    </w:r>
                  </w:p>
                </w:tc>
              </w:sdtContent>
            </w:sdt>
            <w:tc>
              <w:tcPr>
                <w:tcW w:w="1984" w:type="dxa"/>
                <w:vAlign w:val="center"/>
              </w:tcPr>
              <w:p>
                <w:pPr>
                  <w:pStyle w:val="76"/>
                  <w:jc w:val="right"/>
                  <w:rPr>
                    <w:szCs w:val="21"/>
                  </w:rPr>
                </w:pPr>
                <w:r>
                  <w:t>-64,177.54</w:t>
                </w:r>
              </w:p>
            </w:tc>
            <w:tc>
              <w:tcPr>
                <w:tcW w:w="2137" w:type="dxa"/>
                <w:vAlign w:val="center"/>
              </w:tcPr>
              <w:p>
                <w:pPr>
                  <w:pStyle w:val="76"/>
                  <w:jc w:val="right"/>
                  <w:rPr>
                    <w:szCs w:val="21"/>
                  </w:rPr>
                </w:pPr>
                <w:r>
                  <w:rPr>
                    <w:szCs w:val="21"/>
                  </w:rPr>
                  <w:t>-53,493.7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67fa0eaada46f89bf77ee57d86c62f"/>
                <w:id w:val="25155477"/>
                <w:lock w:val="sdtLocked"/>
              </w:sdtPr>
              <w:sdtContent>
                <w:tc>
                  <w:tcPr>
                    <w:tcW w:w="4928" w:type="dxa"/>
                  </w:tcPr>
                  <w:p>
                    <w:pPr>
                      <w:pStyle w:val="76"/>
                      <w:rPr>
                        <w:szCs w:val="21"/>
                      </w:rPr>
                    </w:pPr>
                    <w:r>
                      <w:rPr>
                        <w:rFonts w:hint="eastAsia"/>
                        <w:szCs w:val="21"/>
                      </w:rPr>
                      <w:t>处置长期股权投资产生的投资收益</w:t>
                    </w:r>
                  </w:p>
                </w:tc>
              </w:sdtContent>
            </w:sdt>
            <w:tc>
              <w:tcPr>
                <w:tcW w:w="1984" w:type="dxa"/>
                <w:vAlign w:val="center"/>
              </w:tcPr>
              <w:p>
                <w:pPr>
                  <w:pStyle w:val="76"/>
                  <w:jc w:val="right"/>
                  <w:rPr>
                    <w:szCs w:val="21"/>
                  </w:rPr>
                </w:pPr>
              </w:p>
            </w:tc>
            <w:tc>
              <w:tcPr>
                <w:tcW w:w="2137" w:type="dxa"/>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a66f2da05f49e3b1eb1efa30fbdfe3"/>
                <w:id w:val="25155478"/>
                <w:lock w:val="sdtLocked"/>
              </w:sdtPr>
              <w:sdtContent>
                <w:tc>
                  <w:tcPr>
                    <w:tcW w:w="4928" w:type="dxa"/>
                  </w:tcPr>
                  <w:p>
                    <w:pPr>
                      <w:pStyle w:val="76"/>
                      <w:rPr>
                        <w:szCs w:val="21"/>
                      </w:rPr>
                    </w:pPr>
                    <w:r>
                      <w:rPr>
                        <w:rFonts w:hint="eastAsia"/>
                        <w:szCs w:val="21"/>
                      </w:rPr>
                      <w:t>以公允价值计量且其变动计入当期损益的金融资产在持有期间的投资收益</w:t>
                    </w:r>
                  </w:p>
                </w:tc>
              </w:sdtContent>
            </w:sdt>
            <w:tc>
              <w:tcPr>
                <w:tcW w:w="1984" w:type="dxa"/>
                <w:vAlign w:val="center"/>
              </w:tcPr>
              <w:p>
                <w:pPr>
                  <w:pStyle w:val="76"/>
                  <w:jc w:val="right"/>
                  <w:rPr>
                    <w:szCs w:val="21"/>
                  </w:rPr>
                </w:pPr>
              </w:p>
            </w:tc>
            <w:tc>
              <w:tcPr>
                <w:tcW w:w="2137" w:type="dxa"/>
                <w:vAlign w:val="center"/>
              </w:tcPr>
              <w:p>
                <w:pPr>
                  <w:pStyle w:val="76"/>
                  <w:jc w:val="right"/>
                  <w:rPr>
                    <w:szCs w:val="21"/>
                  </w:rPr>
                </w:pPr>
                <w:r>
                  <w:rPr>
                    <w:szCs w:val="21"/>
                  </w:rPr>
                  <w:t>226,025.18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c52387b47fd4edf97db048b152fa539"/>
                <w:id w:val="25155479"/>
                <w:lock w:val="sdtLocked"/>
              </w:sdtPr>
              <w:sdtContent>
                <w:tc>
                  <w:tcPr>
                    <w:tcW w:w="4928" w:type="dxa"/>
                  </w:tcPr>
                  <w:p>
                    <w:pPr>
                      <w:pStyle w:val="76"/>
                      <w:rPr>
                        <w:szCs w:val="21"/>
                      </w:rPr>
                    </w:pPr>
                    <w:r>
                      <w:rPr>
                        <w:rFonts w:hint="eastAsia"/>
                        <w:szCs w:val="21"/>
                      </w:rPr>
                      <w:t>处置以公允价值计量且其变动计入当期损益的金融资产取得的投资收益</w:t>
                    </w:r>
                  </w:p>
                </w:tc>
              </w:sdtContent>
            </w:sdt>
            <w:tc>
              <w:tcPr>
                <w:tcW w:w="1984" w:type="dxa"/>
                <w:vAlign w:val="center"/>
              </w:tcPr>
              <w:p>
                <w:pPr>
                  <w:pStyle w:val="76"/>
                  <w:jc w:val="right"/>
                  <w:rPr>
                    <w:szCs w:val="21"/>
                  </w:rPr>
                </w:pPr>
                <w:r>
                  <w:t>-1,591,567.4</w:t>
                </w:r>
                <w:r>
                  <w:rPr>
                    <w:rFonts w:hint="eastAsia"/>
                  </w:rPr>
                  <w:t>6</w:t>
                </w:r>
              </w:p>
            </w:tc>
            <w:tc>
              <w:tcPr>
                <w:tcW w:w="2137" w:type="dxa"/>
                <w:vAlign w:val="center"/>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4ff100b46c4ad480d03fceca304e96"/>
                <w:id w:val="25155480"/>
                <w:lock w:val="sdtLocked"/>
              </w:sdtPr>
              <w:sdtContent>
                <w:tc>
                  <w:tcPr>
                    <w:tcW w:w="4928" w:type="dxa"/>
                    <w:vAlign w:val="center"/>
                  </w:tcPr>
                  <w:p>
                    <w:pPr>
                      <w:pStyle w:val="76"/>
                      <w:jc w:val="center"/>
                      <w:rPr>
                        <w:szCs w:val="21"/>
                      </w:rPr>
                    </w:pPr>
                    <w:r>
                      <w:rPr>
                        <w:rFonts w:hint="eastAsia"/>
                        <w:szCs w:val="21"/>
                      </w:rPr>
                      <w:t>合计</w:t>
                    </w:r>
                  </w:p>
                </w:tc>
              </w:sdtContent>
            </w:sdt>
            <w:tc>
              <w:tcPr>
                <w:tcW w:w="1984" w:type="dxa"/>
                <w:vAlign w:val="center"/>
              </w:tcPr>
              <w:p>
                <w:pPr>
                  <w:pStyle w:val="76"/>
                  <w:jc w:val="right"/>
                  <w:rPr>
                    <w:szCs w:val="21"/>
                  </w:rPr>
                </w:pPr>
                <w:r>
                  <w:rPr>
                    <w:szCs w:val="21"/>
                  </w:rPr>
                  <w:t>-1,655,745</w:t>
                </w:r>
                <w:r>
                  <w:rPr>
                    <w:rFonts w:hint="eastAsia"/>
                    <w:szCs w:val="21"/>
                  </w:rPr>
                  <w:t>.00</w:t>
                </w:r>
              </w:p>
            </w:tc>
            <w:tc>
              <w:tcPr>
                <w:tcW w:w="2137" w:type="dxa"/>
                <w:vAlign w:val="center"/>
              </w:tcPr>
              <w:p>
                <w:pPr>
                  <w:pStyle w:val="76"/>
                  <w:jc w:val="right"/>
                  <w:rPr>
                    <w:szCs w:val="21"/>
                  </w:rPr>
                </w:pPr>
                <w:r>
                  <w:rPr>
                    <w:szCs w:val="21"/>
                  </w:rPr>
                  <w:t>172,531.48</w:t>
                </w:r>
              </w:p>
            </w:tc>
          </w:tr>
        </w:tbl>
        <w:p>
          <w:pPr>
            <w:pStyle w:val="76"/>
            <w:rPr>
              <w:b/>
              <w:szCs w:val="21"/>
            </w:rPr>
          </w:pPr>
        </w:p>
      </w:sdtContent>
    </w:sdt>
    <w:sdt>
      <w:sdtPr>
        <w:rPr>
          <w:rFonts w:hint="eastAsia" w:ascii="宋体" w:hAnsi="宋体" w:cs="宋体"/>
          <w:b w:val="0"/>
          <w:bCs w:val="0"/>
          <w:kern w:val="0"/>
          <w:szCs w:val="21"/>
        </w:rPr>
        <w:alias w:val="模块:资产处置收益"/>
        <w:tag w:val="_SEC_32e84127ca0a46b8896ad8e149c91048"/>
        <w:id w:val="25155485"/>
        <w:lock w:val="sdtLocked"/>
        <w:placeholder>
          <w:docPart w:val="GBC22222222222222222222222222222"/>
        </w:placeholder>
      </w:sdtPr>
      <w:sdtEndPr>
        <w:rPr>
          <w:rFonts w:hint="default" w:ascii="宋体" w:hAnsi="宋体" w:cs="宋体"/>
          <w:b w:val="0"/>
          <w:bCs w:val="0"/>
          <w:kern w:val="0"/>
          <w:szCs w:val="24"/>
        </w:rPr>
      </w:sdtEndPr>
      <w:sdtContent>
        <w:p>
          <w:pPr>
            <w:pStyle w:val="79"/>
            <w:numPr>
              <w:ilvl w:val="0"/>
              <w:numId w:val="46"/>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25155484"/>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宋体" w:hAnsi="宋体" w:cs="宋体"/>
          <w:b w:val="0"/>
          <w:bCs w:val="0"/>
          <w:kern w:val="0"/>
          <w:szCs w:val="24"/>
        </w:rPr>
        <w:alias w:val="模块:其他收益"/>
        <w:tag w:val="_SEC_b7dd1353107541ffa3a1d66fbb85a037"/>
        <w:id w:val="25155511"/>
        <w:lock w:val="sdtLocked"/>
        <w:placeholder>
          <w:docPart w:val="GBC22222222222222222222222222222"/>
        </w:placeholder>
      </w:sdtPr>
      <w:sdtEndPr>
        <w:rPr>
          <w:rFonts w:hint="default" w:ascii="宋体" w:hAnsi="宋体" w:cs="宋体"/>
          <w:b w:val="0"/>
          <w:bCs w:val="0"/>
          <w:kern w:val="0"/>
          <w:szCs w:val="24"/>
        </w:rPr>
      </w:sdtEndPr>
      <w:sdtContent>
        <w:p>
          <w:pPr>
            <w:pStyle w:val="79"/>
            <w:numPr>
              <w:ilvl w:val="0"/>
              <w:numId w:val="46"/>
            </w:numPr>
            <w:tabs>
              <w:tab w:val="left" w:pos="504"/>
            </w:tabs>
          </w:pPr>
          <w:r>
            <w:rPr>
              <w:rFonts w:hint="eastAsia"/>
            </w:rPr>
            <w:t>其他收益</w:t>
          </w:r>
        </w:p>
        <w:sdt>
          <w:sdtPr>
            <w:alias w:val="是否适用：财务报表其他收益[双击切换]"/>
            <w:tag w:val="_GBC_86fde94b0d4e4b1f997adc6f063babf7"/>
            <w:id w:val="2515548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251554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cstheme="minorBidi"/>
                <w:bCs/>
                <w:szCs w:val="22"/>
              </w:rPr>
            </w:sdtEnd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51554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cstheme="minorBidi"/>
                <w:bCs/>
                <w:szCs w:val="22"/>
              </w:rPr>
            </w:sdtEndPr>
            <w:sdtContent>
              <w:r>
                <w:rPr>
                  <w:rFonts w:cstheme="minorBidi"/>
                  <w:bCs/>
                  <w:szCs w:val="22"/>
                </w:rPr>
                <w:t>人民币</w:t>
              </w:r>
            </w:sdtContent>
          </w:sdt>
        </w:p>
        <w:tbl>
          <w:tblPr>
            <w:tblStyle w:val="7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41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sdt>
                <w:sdtPr>
                  <w:rPr>
                    <w:rFonts w:hint="eastAsia" w:ascii="Times New Roman" w:hAnsi="Times New Roman"/>
                  </w:rPr>
                  <w:tag w:val="_PLD_92b33ced889140b7b84894c5f486f4e6"/>
                  <w:id w:val="25155489"/>
                  <w:lock w:val="sdtLocked"/>
                </w:sdtPr>
                <w:sdtEndPr>
                  <w:rPr>
                    <w:rFonts w:hint="eastAsia" w:ascii="Times New Roman" w:hAnsi="Times New Roman"/>
                  </w:rPr>
                </w:sdtEndPr>
                <w:sdtContent>
                  <w:p>
                    <w:pPr>
                      <w:pStyle w:val="76"/>
                      <w:widowControl w:val="0"/>
                      <w:jc w:val="center"/>
                    </w:pPr>
                    <w:r>
                      <w:rPr>
                        <w:rFonts w:hint="eastAsia"/>
                      </w:rPr>
                      <w:t>项目</w:t>
                    </w:r>
                  </w:p>
                </w:sdtContent>
              </w:sdt>
            </w:tc>
            <w:tc>
              <w:tcPr>
                <w:tcW w:w="2410" w:type="dxa"/>
              </w:tcPr>
              <w:sdt>
                <w:sdtPr>
                  <w:rPr>
                    <w:rFonts w:hint="eastAsia" w:ascii="Times New Roman" w:hAnsi="Times New Roman"/>
                  </w:rPr>
                  <w:tag w:val="_PLD_73b3023fbaed423bbb8ca1ec42a2eaf9"/>
                  <w:id w:val="25155490"/>
                  <w:lock w:val="sdtLocked"/>
                </w:sdtPr>
                <w:sdtEndPr>
                  <w:rPr>
                    <w:rFonts w:hint="eastAsia" w:ascii="Times New Roman" w:hAnsi="Times New Roman"/>
                  </w:rPr>
                </w:sdtEndPr>
                <w:sdtContent>
                  <w:p>
                    <w:pPr>
                      <w:pStyle w:val="76"/>
                      <w:widowControl w:val="0"/>
                      <w:jc w:val="center"/>
                    </w:pPr>
                    <w:r>
                      <w:rPr>
                        <w:rFonts w:hint="eastAsia"/>
                      </w:rPr>
                      <w:t>本期发生额</w:t>
                    </w:r>
                  </w:p>
                </w:sdtContent>
              </w:sdt>
            </w:tc>
            <w:tc>
              <w:tcPr>
                <w:tcW w:w="2278" w:type="dxa"/>
              </w:tcPr>
              <w:sdt>
                <w:sdtPr>
                  <w:rPr>
                    <w:rFonts w:hint="eastAsia" w:ascii="Times New Roman" w:hAnsi="Times New Roman"/>
                  </w:rPr>
                  <w:tag w:val="_PLD_9f39351a333c497da22a0955aff07b4c"/>
                  <w:id w:val="25155491"/>
                  <w:lock w:val="sdtLocked"/>
                </w:sdtPr>
                <w:sdtEndPr>
                  <w:rPr>
                    <w:rFonts w:hint="eastAsia" w:ascii="Times New Roman" w:hAnsi="Times New Roman"/>
                  </w:rPr>
                </w:sdtEndPr>
                <w:sdtContent>
                  <w:p>
                    <w:pPr>
                      <w:pStyle w:val="76"/>
                      <w:widowControl w:val="0"/>
                      <w:jc w:val="center"/>
                    </w:pPr>
                    <w:r>
                      <w:rPr>
                        <w:rFonts w:hint="eastAsia"/>
                      </w:rPr>
                      <w:t>上期发生额</w:t>
                    </w:r>
                  </w:p>
                </w:sdtContent>
              </w:sdt>
            </w:tc>
          </w:tr>
          <w:sdt>
            <w:sdtPr>
              <w:rPr>
                <w:rFonts w:asciiTheme="minorHAnsi" w:hAnsiTheme="minorHAnsi" w:eastAsiaTheme="minorEastAsia" w:cstheme="minorBidi"/>
                <w:kern w:val="2"/>
                <w:sz w:val="18"/>
                <w:szCs w:val="18"/>
              </w:rPr>
              <w:alias w:val="财务报表其他收益明细"/>
              <w:tag w:val="_TUP_6fbc2b9298bf4c818dfcc7c62d7fcd6c"/>
              <w:id w:val="2515549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三焦加煤、推焦除尘地面站改造工程</w:t>
                    </w:r>
                  </w:p>
                </w:tc>
                <w:tc>
                  <w:tcPr>
                    <w:tcW w:w="2410" w:type="dxa"/>
                  </w:tcPr>
                  <w:p>
                    <w:pPr>
                      <w:pStyle w:val="76"/>
                      <w:widowControl w:val="0"/>
                      <w:jc w:val="right"/>
                      <w:rPr>
                        <w:sz w:val="18"/>
                        <w:szCs w:val="18"/>
                      </w:rPr>
                    </w:pPr>
                    <w:r>
                      <w:rPr>
                        <w:sz w:val="18"/>
                        <w:szCs w:val="18"/>
                      </w:rPr>
                      <w:t>98,993.82</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3"/>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焦化干熄焦节能改造工程</w:t>
                    </w:r>
                  </w:p>
                </w:tc>
                <w:tc>
                  <w:tcPr>
                    <w:tcW w:w="2410" w:type="dxa"/>
                  </w:tcPr>
                  <w:p>
                    <w:pPr>
                      <w:pStyle w:val="76"/>
                      <w:widowControl w:val="0"/>
                      <w:jc w:val="right"/>
                      <w:rPr>
                        <w:sz w:val="18"/>
                        <w:szCs w:val="18"/>
                      </w:rPr>
                    </w:pPr>
                    <w:r>
                      <w:rPr>
                        <w:sz w:val="18"/>
                        <w:szCs w:val="18"/>
                      </w:rPr>
                      <w:t>318,945.84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3#、4#干熄焦节能改造工程</w:t>
                    </w:r>
                  </w:p>
                </w:tc>
                <w:tc>
                  <w:tcPr>
                    <w:tcW w:w="2410" w:type="dxa"/>
                  </w:tcPr>
                  <w:p>
                    <w:pPr>
                      <w:pStyle w:val="76"/>
                      <w:widowControl w:val="0"/>
                      <w:jc w:val="right"/>
                      <w:rPr>
                        <w:sz w:val="18"/>
                        <w:szCs w:val="18"/>
                      </w:rPr>
                    </w:pPr>
                    <w:r>
                      <w:rPr>
                        <w:sz w:val="18"/>
                        <w:szCs w:val="18"/>
                      </w:rPr>
                      <w:t>269,937.00</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160吨/小时干熄焦节能改造工程</w:t>
                    </w:r>
                  </w:p>
                </w:tc>
                <w:tc>
                  <w:tcPr>
                    <w:tcW w:w="2410" w:type="dxa"/>
                  </w:tcPr>
                  <w:p>
                    <w:pPr>
                      <w:pStyle w:val="76"/>
                      <w:widowControl w:val="0"/>
                      <w:jc w:val="right"/>
                      <w:rPr>
                        <w:sz w:val="18"/>
                        <w:szCs w:val="18"/>
                      </w:rPr>
                    </w:pPr>
                    <w:r>
                      <w:rPr>
                        <w:sz w:val="18"/>
                        <w:szCs w:val="18"/>
                      </w:rPr>
                      <w:t>220,032.24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6"/>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焦炉煤气氨气回收综合利用工程</w:t>
                    </w:r>
                  </w:p>
                </w:tc>
                <w:tc>
                  <w:tcPr>
                    <w:tcW w:w="2410" w:type="dxa"/>
                  </w:tcPr>
                  <w:p>
                    <w:pPr>
                      <w:pStyle w:val="76"/>
                      <w:widowControl w:val="0"/>
                      <w:jc w:val="right"/>
                      <w:rPr>
                        <w:sz w:val="18"/>
                        <w:szCs w:val="18"/>
                      </w:rPr>
                    </w:pPr>
                    <w:r>
                      <w:rPr>
                        <w:sz w:val="18"/>
                        <w:szCs w:val="18"/>
                      </w:rPr>
                      <w:t>90,997.98</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110M2、265M2烧结机头烟气脱硫工程</w:t>
                    </w:r>
                  </w:p>
                </w:tc>
                <w:tc>
                  <w:tcPr>
                    <w:tcW w:w="2410" w:type="dxa"/>
                  </w:tcPr>
                  <w:p>
                    <w:pPr>
                      <w:pStyle w:val="76"/>
                      <w:widowControl w:val="0"/>
                      <w:jc w:val="right"/>
                      <w:rPr>
                        <w:sz w:val="18"/>
                        <w:szCs w:val="18"/>
                      </w:rPr>
                    </w:pPr>
                    <w:r>
                      <w:rPr>
                        <w:sz w:val="18"/>
                        <w:szCs w:val="18"/>
                      </w:rPr>
                      <w:t>168,694.44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1#烧结机（360M2烧结机）技术改造工程</w:t>
                    </w:r>
                  </w:p>
                </w:tc>
                <w:tc>
                  <w:tcPr>
                    <w:tcW w:w="2410" w:type="dxa"/>
                  </w:tcPr>
                  <w:p>
                    <w:pPr>
                      <w:pStyle w:val="76"/>
                      <w:widowControl w:val="0"/>
                      <w:jc w:val="right"/>
                      <w:rPr>
                        <w:sz w:val="18"/>
                        <w:szCs w:val="18"/>
                      </w:rPr>
                    </w:pPr>
                    <w:r>
                      <w:rPr>
                        <w:sz w:val="18"/>
                        <w:szCs w:val="18"/>
                      </w:rPr>
                      <w:t>268,053.84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49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第二高速线材技术改造工程</w:t>
                    </w:r>
                  </w:p>
                </w:tc>
                <w:tc>
                  <w:tcPr>
                    <w:tcW w:w="2410" w:type="dxa"/>
                  </w:tcPr>
                  <w:p>
                    <w:pPr>
                      <w:pStyle w:val="76"/>
                      <w:widowControl w:val="0"/>
                      <w:jc w:val="right"/>
                      <w:rPr>
                        <w:sz w:val="18"/>
                        <w:szCs w:val="18"/>
                      </w:rPr>
                    </w:pPr>
                    <w:r>
                      <w:rPr>
                        <w:sz w:val="18"/>
                        <w:szCs w:val="18"/>
                      </w:rPr>
                      <w:t>165,086.64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0"/>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合金棒材生产线技术改造(三棒）工程</w:t>
                    </w:r>
                  </w:p>
                </w:tc>
                <w:tc>
                  <w:tcPr>
                    <w:tcW w:w="2410" w:type="dxa"/>
                  </w:tcPr>
                  <w:p>
                    <w:pPr>
                      <w:pStyle w:val="76"/>
                      <w:widowControl w:val="0"/>
                      <w:jc w:val="right"/>
                      <w:rPr>
                        <w:sz w:val="18"/>
                        <w:szCs w:val="18"/>
                      </w:rPr>
                    </w:pPr>
                    <w:r>
                      <w:rPr>
                        <w:sz w:val="18"/>
                        <w:szCs w:val="18"/>
                      </w:rPr>
                      <w:t>99,557.52</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1"/>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150T转炉节能技术改造工程</w:t>
                    </w:r>
                  </w:p>
                </w:tc>
                <w:tc>
                  <w:tcPr>
                    <w:tcW w:w="2410" w:type="dxa"/>
                  </w:tcPr>
                  <w:p>
                    <w:pPr>
                      <w:pStyle w:val="76"/>
                      <w:widowControl w:val="0"/>
                      <w:jc w:val="right"/>
                      <w:rPr>
                        <w:sz w:val="18"/>
                        <w:szCs w:val="18"/>
                      </w:rPr>
                    </w:pPr>
                    <w:r>
                      <w:rPr>
                        <w:sz w:val="18"/>
                        <w:szCs w:val="18"/>
                      </w:rPr>
                      <w:t>133,236.12</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2*360M2烧结机头烟气脱硫工程</w:t>
                    </w:r>
                  </w:p>
                </w:tc>
                <w:tc>
                  <w:tcPr>
                    <w:tcW w:w="2410" w:type="dxa"/>
                  </w:tcPr>
                  <w:p>
                    <w:pPr>
                      <w:pStyle w:val="76"/>
                      <w:widowControl w:val="0"/>
                      <w:jc w:val="right"/>
                      <w:rPr>
                        <w:sz w:val="18"/>
                        <w:szCs w:val="18"/>
                      </w:rPr>
                    </w:pPr>
                    <w:r>
                      <w:rPr>
                        <w:sz w:val="18"/>
                        <w:szCs w:val="18"/>
                      </w:rPr>
                      <w:t>715,666.68</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3"/>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焦化全干熄焦配套完善工程</w:t>
                    </w:r>
                  </w:p>
                </w:tc>
                <w:tc>
                  <w:tcPr>
                    <w:tcW w:w="2410" w:type="dxa"/>
                  </w:tcPr>
                  <w:p>
                    <w:pPr>
                      <w:pStyle w:val="76"/>
                      <w:widowControl w:val="0"/>
                      <w:jc w:val="right"/>
                      <w:rPr>
                        <w:sz w:val="18"/>
                        <w:szCs w:val="18"/>
                      </w:rPr>
                    </w:pPr>
                    <w:r>
                      <w:rPr>
                        <w:sz w:val="18"/>
                        <w:szCs w:val="18"/>
                      </w:rPr>
                      <w:t>66,666.66</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第四棒材生产线技术改造工程</w:t>
                    </w:r>
                  </w:p>
                </w:tc>
                <w:tc>
                  <w:tcPr>
                    <w:tcW w:w="2410" w:type="dxa"/>
                  </w:tcPr>
                  <w:p>
                    <w:pPr>
                      <w:pStyle w:val="76"/>
                      <w:widowControl w:val="0"/>
                      <w:jc w:val="right"/>
                      <w:rPr>
                        <w:sz w:val="18"/>
                        <w:szCs w:val="18"/>
                      </w:rPr>
                    </w:pPr>
                    <w:r>
                      <w:rPr>
                        <w:sz w:val="18"/>
                        <w:szCs w:val="18"/>
                      </w:rPr>
                      <w:t>83,333.34</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焦化230万吨/年煤调湿工程</w:t>
                    </w:r>
                  </w:p>
                </w:tc>
                <w:tc>
                  <w:tcPr>
                    <w:tcW w:w="2410" w:type="dxa"/>
                  </w:tcPr>
                  <w:p>
                    <w:pPr>
                      <w:pStyle w:val="76"/>
                      <w:widowControl w:val="0"/>
                      <w:jc w:val="right"/>
                      <w:rPr>
                        <w:sz w:val="18"/>
                        <w:szCs w:val="18"/>
                      </w:rPr>
                    </w:pPr>
                    <w:r>
                      <w:rPr>
                        <w:sz w:val="18"/>
                        <w:szCs w:val="18"/>
                      </w:rPr>
                      <w:t>363,333.36</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6"/>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球团烟气脱硫技术改造工程</w:t>
                    </w:r>
                  </w:p>
                </w:tc>
                <w:tc>
                  <w:tcPr>
                    <w:tcW w:w="2410" w:type="dxa"/>
                  </w:tcPr>
                  <w:p>
                    <w:pPr>
                      <w:pStyle w:val="76"/>
                      <w:widowControl w:val="0"/>
                      <w:jc w:val="right"/>
                      <w:rPr>
                        <w:sz w:val="18"/>
                        <w:szCs w:val="18"/>
                      </w:rPr>
                    </w:pPr>
                    <w:r>
                      <w:rPr>
                        <w:sz w:val="18"/>
                        <w:szCs w:val="18"/>
                      </w:rPr>
                      <w:t>133,333.32</w:t>
                    </w:r>
                  </w:p>
                </w:tc>
                <w:tc>
                  <w:tcPr>
                    <w:tcW w:w="2278" w:type="dxa"/>
                  </w:tcPr>
                  <w:p>
                    <w:pPr>
                      <w:pStyle w:val="76"/>
                      <w:widowControl w:val="0"/>
                      <w:jc w:val="right"/>
                      <w:rPr>
                        <w:sz w:val="18"/>
                        <w:szCs w:val="18"/>
                      </w:rPr>
                    </w:pP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增值税即征即退</w:t>
                    </w:r>
                  </w:p>
                </w:tc>
                <w:tc>
                  <w:tcPr>
                    <w:tcW w:w="2410" w:type="dxa"/>
                  </w:tcPr>
                  <w:p>
                    <w:pPr>
                      <w:pStyle w:val="76"/>
                      <w:widowControl w:val="0"/>
                      <w:jc w:val="right"/>
                      <w:rPr>
                        <w:sz w:val="18"/>
                        <w:szCs w:val="18"/>
                      </w:rPr>
                    </w:pPr>
                    <w:r>
                      <w:rPr>
                        <w:sz w:val="18"/>
                        <w:szCs w:val="18"/>
                      </w:rPr>
                      <w:t>7,647,007.76</w:t>
                    </w:r>
                  </w:p>
                </w:tc>
                <w:tc>
                  <w:tcPr>
                    <w:tcW w:w="2278" w:type="dxa"/>
                  </w:tcPr>
                  <w:p>
                    <w:pPr>
                      <w:pStyle w:val="76"/>
                      <w:widowControl w:val="0"/>
                      <w:jc w:val="right"/>
                      <w:rPr>
                        <w:sz w:val="18"/>
                        <w:szCs w:val="18"/>
                      </w:rPr>
                    </w:pPr>
                    <w:r>
                      <w:rPr>
                        <w:sz w:val="18"/>
                        <w:szCs w:val="18"/>
                      </w:rPr>
                      <w:t>3,392,272.22</w:t>
                    </w:r>
                  </w:p>
                </w:tc>
              </w:tr>
            </w:sdtContent>
          </w:sdt>
          <w:sdt>
            <w:sdtPr>
              <w:rPr>
                <w:rFonts w:asciiTheme="minorHAnsi" w:hAnsiTheme="minorHAnsi" w:eastAsiaTheme="minorEastAsia" w:cstheme="minorBidi"/>
                <w:kern w:val="2"/>
                <w:sz w:val="18"/>
                <w:szCs w:val="18"/>
              </w:rPr>
              <w:alias w:val="财务报表其他收益明细"/>
              <w:tag w:val="_TUP_6fbc2b9298bf4c818dfcc7c62d7fcd6c"/>
              <w:id w:val="2515550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76"/>
                      <w:widowControl w:val="0"/>
                      <w:jc w:val="both"/>
                      <w:rPr>
                        <w:sz w:val="18"/>
                        <w:szCs w:val="18"/>
                      </w:rPr>
                    </w:pPr>
                    <w:r>
                      <w:rPr>
                        <w:sz w:val="18"/>
                        <w:szCs w:val="18"/>
                      </w:rPr>
                      <w:t>转炉烟气除尘技术改造（一期）</w:t>
                    </w:r>
                  </w:p>
                </w:tc>
                <w:tc>
                  <w:tcPr>
                    <w:tcW w:w="2410" w:type="dxa"/>
                  </w:tcPr>
                  <w:p>
                    <w:pPr>
                      <w:pStyle w:val="76"/>
                      <w:widowControl w:val="0"/>
                      <w:jc w:val="right"/>
                      <w:rPr>
                        <w:sz w:val="18"/>
                        <w:szCs w:val="18"/>
                      </w:rPr>
                    </w:pPr>
                    <w:r>
                      <w:rPr>
                        <w:sz w:val="18"/>
                        <w:szCs w:val="18"/>
                      </w:rPr>
                      <w:t>1,583,333.32</w:t>
                    </w:r>
                  </w:p>
                </w:tc>
                <w:tc>
                  <w:tcPr>
                    <w:tcW w:w="2278" w:type="dxa"/>
                  </w:tcPr>
                  <w:p>
                    <w:pPr>
                      <w:pStyle w:val="76"/>
                      <w:widowControl w:val="0"/>
                      <w:jc w:val="right"/>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sdt>
                <w:sdtPr>
                  <w:rPr>
                    <w:rFonts w:hint="eastAsia" w:ascii="Times New Roman" w:hAnsi="Times New Roman"/>
                    <w:sz w:val="18"/>
                    <w:szCs w:val="18"/>
                  </w:rPr>
                  <w:tag w:val="_PLD_895bf64d897b4d94b2d45a7ce9849ec7"/>
                  <w:id w:val="25155509"/>
                  <w:lock w:val="sdtLocked"/>
                </w:sdtPr>
                <w:sdtEndPr>
                  <w:rPr>
                    <w:rFonts w:hint="eastAsia" w:ascii="Times New Roman" w:hAnsi="Times New Roman"/>
                    <w:sz w:val="18"/>
                    <w:szCs w:val="18"/>
                  </w:rPr>
                </w:sdtEndPr>
                <w:sdtContent>
                  <w:p>
                    <w:pPr>
                      <w:pStyle w:val="76"/>
                      <w:widowControl w:val="0"/>
                      <w:jc w:val="center"/>
                      <w:rPr>
                        <w:sz w:val="18"/>
                        <w:szCs w:val="18"/>
                      </w:rPr>
                    </w:pPr>
                    <w:r>
                      <w:rPr>
                        <w:rFonts w:hint="eastAsia"/>
                        <w:sz w:val="18"/>
                        <w:szCs w:val="18"/>
                      </w:rPr>
                      <w:t>合计</w:t>
                    </w:r>
                  </w:p>
                </w:sdtContent>
              </w:sdt>
            </w:tc>
            <w:tc>
              <w:tcPr>
                <w:tcW w:w="2410" w:type="dxa"/>
              </w:tcPr>
              <w:p>
                <w:pPr>
                  <w:pStyle w:val="76"/>
                  <w:widowControl w:val="0"/>
                  <w:jc w:val="right"/>
                  <w:rPr>
                    <w:sz w:val="18"/>
                    <w:szCs w:val="18"/>
                  </w:rPr>
                </w:pPr>
                <w:r>
                  <w:rPr>
                    <w:sz w:val="18"/>
                    <w:szCs w:val="18"/>
                  </w:rPr>
                  <w:t>12,426,209.88</w:t>
                </w:r>
              </w:p>
            </w:tc>
            <w:tc>
              <w:tcPr>
                <w:tcW w:w="2278" w:type="dxa"/>
              </w:tcPr>
              <w:p>
                <w:pPr>
                  <w:pStyle w:val="76"/>
                  <w:widowControl w:val="0"/>
                  <w:jc w:val="right"/>
                  <w:rPr>
                    <w:sz w:val="18"/>
                    <w:szCs w:val="18"/>
                  </w:rPr>
                </w:pPr>
                <w:r>
                  <w:rPr>
                    <w:sz w:val="18"/>
                    <w:szCs w:val="18"/>
                  </w:rPr>
                  <w:t>3,392,272.22</w:t>
                </w:r>
              </w:p>
            </w:tc>
          </w:tr>
        </w:tbl>
        <w:p>
          <w:pPr>
            <w:pStyle w:val="76"/>
          </w:pPr>
        </w:p>
        <w:p>
          <w:pPr>
            <w:pStyle w:val="76"/>
          </w:pPr>
          <w:r>
            <w:rPr>
              <w:rFonts w:hint="eastAsia"/>
            </w:rPr>
            <w:t>其他</w:t>
          </w:r>
          <w:r>
            <w:t>说明：</w:t>
          </w:r>
        </w:p>
        <w:sdt>
          <w:sdtPr>
            <w:rPr>
              <w:rFonts w:hint="eastAsia"/>
            </w:rPr>
            <w:alias w:val="是否适用：财务报表其他收益其他说明[双击切换]"/>
            <w:tag w:val="_GBC_05dadc1b439c4bc5add14717fd0f3dea"/>
            <w:id w:val="25155510"/>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9"/>
        <w:numPr>
          <w:ilvl w:val="0"/>
          <w:numId w:val="46"/>
        </w:numPr>
        <w:tabs>
          <w:tab w:val="left" w:pos="504"/>
        </w:tabs>
        <w:rPr>
          <w:rFonts w:ascii="宋体" w:hAnsi="宋体"/>
          <w:szCs w:val="21"/>
        </w:rPr>
      </w:pPr>
      <w:r>
        <w:rPr>
          <w:rFonts w:hint="eastAsia" w:ascii="宋体" w:hAnsi="宋体"/>
          <w:szCs w:val="21"/>
        </w:rPr>
        <w:t>营业外收入</w:t>
      </w:r>
    </w:p>
    <w:sdt>
      <w:sdtPr>
        <w:rPr>
          <w:rFonts w:hint="eastAsia" w:asciiTheme="minorHAnsi" w:hAnsiTheme="minorHAnsi" w:eastAsiaTheme="minorEastAsia" w:cstheme="minorBidi"/>
          <w:b/>
          <w:bCs/>
          <w:szCs w:val="22"/>
        </w:rPr>
        <w:alias w:val="模块:营业外收入情况"/>
        <w:tag w:val="_GBC_b3aa85ef8a734fe8abf3dc4d81ddc34c"/>
        <w:id w:val="25155528"/>
        <w:lock w:val="sdtLocked"/>
        <w:placeholder>
          <w:docPart w:val="GBC22222222222222222222222222222"/>
        </w:placeholder>
      </w:sdtPr>
      <w:sdtEndPr>
        <w:rPr>
          <w:rFonts w:hint="eastAsia" w:ascii="宋体" w:hAnsi="宋体" w:eastAsia="宋体" w:cs="宋体"/>
          <w:b w:val="0"/>
          <w:bCs w:val="0"/>
          <w:szCs w:val="24"/>
        </w:rPr>
      </w:sdtEndPr>
      <w:sdtContent>
        <w:p>
          <w:pPr>
            <w:pStyle w:val="76"/>
            <w:rPr>
              <w:rFonts w:asciiTheme="minorHAnsi" w:hAnsiTheme="minorHAnsi" w:eastAsiaTheme="minorEastAsia" w:cstheme="minorBidi"/>
              <w:bCs/>
              <w:szCs w:val="22"/>
            </w:rPr>
          </w:pPr>
          <w:r>
            <w:rPr>
              <w:rFonts w:hint="eastAsia" w:asciiTheme="minorHAnsi" w:hAnsiTheme="minorHAnsi" w:eastAsiaTheme="minorEastAsia" w:cstheme="minorBidi"/>
              <w:bCs/>
              <w:szCs w:val="22"/>
            </w:rPr>
            <w:t>营业外收入情况</w:t>
          </w:r>
        </w:p>
        <w:sdt>
          <w:sdtPr>
            <w:rPr>
              <w:rFonts w:hint="eastAsia" w:asciiTheme="minorHAnsi" w:hAnsiTheme="minorHAnsi" w:eastAsiaTheme="minorEastAsia" w:cstheme="minorBidi"/>
              <w:bCs/>
              <w:szCs w:val="22"/>
            </w:rPr>
            <w:alias w:val="是否适用：营业外收入情况 [双击切换]"/>
            <w:tag w:val="_GBC_b6e9df1124844122abb2dde58392c605"/>
            <w:id w:val="25155512"/>
            <w:lock w:val="sdtContentLocked"/>
            <w:placeholder>
              <w:docPart w:val="GBC22222222222222222222222222222"/>
            </w:placeholder>
          </w:sdtPr>
          <w:sdtEndPr>
            <w:rPr>
              <w:rFonts w:hint="eastAsia" w:asciiTheme="minorHAnsi" w:hAnsiTheme="minorHAnsi" w:eastAsiaTheme="minorEastAsia" w:cstheme="minorBidi"/>
              <w:bCs/>
              <w:szCs w:val="22"/>
            </w:rPr>
          </w:sdtEndPr>
          <w:sdtContent>
            <w:p>
              <w:pPr>
                <w:pStyle w:val="76"/>
                <w:rPr>
                  <w:rFonts w:asciiTheme="minorHAnsi" w:hAnsiTheme="minorHAnsi" w:eastAsiaTheme="minorEastAsia"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pPr>
            <w:pStyle w:val="76"/>
            <w:jc w:val="right"/>
          </w:pPr>
          <w:r>
            <w:rPr>
              <w:rFonts w:hint="eastAsia"/>
            </w:rPr>
            <w:t>单位：</w:t>
          </w:r>
          <w:sdt>
            <w:sdtPr>
              <w:rPr>
                <w:rFonts w:hint="eastAsia"/>
              </w:rPr>
              <w:alias w:val="单位：财务附注：营业外收入"/>
              <w:tag w:val="_GBC_dd93a692e0c045038f9ddf46f86e7289"/>
              <w:id w:val="251555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251555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2127"/>
            <w:gridCol w:w="198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649e0d07dd047a497e69591bf3e322c"/>
                <w:id w:val="25155515"/>
                <w:lock w:val="sdtLocked"/>
              </w:sdtPr>
              <w:sdtContent>
                <w:tc>
                  <w:tcPr>
                    <w:tcW w:w="3086"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项目</w:t>
                    </w:r>
                  </w:p>
                </w:tc>
              </w:sdtContent>
            </w:sdt>
            <w:sdt>
              <w:sdtPr>
                <w:tag w:val="_PLD_eabf358cb2c947a9b4e7bacb394074db"/>
                <w:id w:val="25155516"/>
                <w:lock w:val="sdtLocked"/>
              </w:sdtPr>
              <w:sdtContent>
                <w:tc>
                  <w:tcPr>
                    <w:tcW w:w="2127"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本期发生额</w:t>
                    </w:r>
                  </w:p>
                </w:tc>
              </w:sdtContent>
            </w:sdt>
            <w:sdt>
              <w:sdtPr>
                <w:tag w:val="_PLD_0469d808d7334ff0ab3460273b0c8f8f"/>
                <w:id w:val="25155517"/>
                <w:lock w:val="sdtLocked"/>
              </w:sdtPr>
              <w:sdtContent>
                <w:tc>
                  <w:tcPr>
                    <w:tcW w:w="1985"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上期发生额</w:t>
                    </w:r>
                  </w:p>
                </w:tc>
              </w:sdtContent>
            </w:sdt>
            <w:sdt>
              <w:sdtPr>
                <w:tag w:val="_PLD_121bda757dda46918753fabf9329298f"/>
                <w:id w:val="25155518"/>
                <w:lock w:val="sdtLocked"/>
              </w:sdtPr>
              <w:sdtContent>
                <w:tc>
                  <w:tcPr>
                    <w:tcW w:w="185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color w:val="FF0000"/>
                        <w:szCs w:val="21"/>
                      </w:rPr>
                    </w:pPr>
                    <w:r>
                      <w:rPr>
                        <w:rFonts w:hint="eastAsia"/>
                        <w:szCs w:val="21"/>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b24834fdd0f46c3836c51084196565f"/>
                <w:id w:val="25155519"/>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非流动资产处置利得合计</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1e6628966d84807a93193ac3fd8a88e"/>
                <w:id w:val="25155520"/>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其中：固定资产处置利得</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803529327b4f529b4acbc8b4633c6e"/>
                <w:id w:val="25155521"/>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ind w:firstLine="630" w:firstLineChars="300"/>
                      <w:rPr>
                        <w:szCs w:val="21"/>
                      </w:rPr>
                    </w:pPr>
                    <w:r>
                      <w:rPr>
                        <w:rFonts w:hint="eastAsia"/>
                        <w:szCs w:val="21"/>
                      </w:rPr>
                      <w:t>无形资产处置利得</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78c2dfb458d4a20adeaa192d260fc6a"/>
                <w:id w:val="25155522"/>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债务重组利得</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ddf757476b14e0a866d589088e59325"/>
                <w:id w:val="25155523"/>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非货币性资产交换利得</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039c4d9907c4ef7bb8a71fc4f7dd7fa"/>
                <w:id w:val="25155524"/>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接受捐赠</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27183426d3462198209d98f8e60215"/>
                <w:id w:val="25155525"/>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76"/>
                      <w:ind w:right="6"/>
                      <w:rPr>
                        <w:bCs/>
                        <w:szCs w:val="21"/>
                      </w:rPr>
                    </w:pPr>
                    <w:r>
                      <w:rPr>
                        <w:rFonts w:hint="eastAsia"/>
                        <w:bCs/>
                        <w:szCs w:val="21"/>
                      </w:rPr>
                      <w:t>政府补助</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r>
                  <w:t>286,500</w:t>
                </w:r>
                <w:r>
                  <w:rPr>
                    <w:rFonts w:hint="eastAsia"/>
                  </w:rPr>
                  <w:t>.00</w:t>
                </w: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r>
                  <w:t>3,195,868.80</w:t>
                </w:r>
              </w:p>
            </w:tc>
            <w:tc>
              <w:tcPr>
                <w:tcW w:w="185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t>286,500</w:t>
                </w:r>
                <w:r>
                  <w:rPr>
                    <w:rFonts w:hint="eastAsia"/>
                  </w:rPr>
                  <w:t>.00</w:t>
                </w:r>
              </w:p>
            </w:tc>
          </w:tr>
          <w:sdt>
            <w:sdtPr>
              <w:rPr>
                <w:rFonts w:hint="eastAsia"/>
                <w:szCs w:val="21"/>
              </w:rPr>
              <w:alias w:val="营业外收入明细"/>
              <w:tag w:val="_GBC_fd02acc867064481b957560afa744c85"/>
              <w:id w:val="2515552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6"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其他</w:t>
                    </w: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r>
                      <w:t>1,920,240.56</w:t>
                    </w: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r>
                      <w:t>3,529,536.95</w:t>
                    </w:r>
                  </w:p>
                </w:tc>
                <w:tc>
                  <w:tcPr>
                    <w:tcW w:w="1851" w:type="dxa"/>
                    <w:tcBorders>
                      <w:top w:val="single" w:color="auto" w:sz="4" w:space="0"/>
                      <w:left w:val="single" w:color="auto" w:sz="4" w:space="0"/>
                      <w:bottom w:val="single" w:color="auto" w:sz="4" w:space="0"/>
                      <w:right w:val="single" w:color="auto" w:sz="4" w:space="0"/>
                    </w:tcBorders>
                  </w:tcPr>
                  <w:p>
                    <w:pPr>
                      <w:pStyle w:val="76"/>
                      <w:jc w:val="right"/>
                      <w:rPr>
                        <w:szCs w:val="21"/>
                      </w:rPr>
                    </w:pPr>
                    <w:r>
                      <w:t>1,920,240.56</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5918db321f1404aaddb2a14d0bd05fc"/>
                <w:id w:val="25155527"/>
                <w:lock w:val="sdtLocked"/>
              </w:sdtPr>
              <w:sdtContent>
                <w:tc>
                  <w:tcPr>
                    <w:tcW w:w="3086"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rFonts w:hint="eastAsia"/>
                        <w:szCs w:val="21"/>
                      </w:rPr>
                      <w:t>合计</w:t>
                    </w:r>
                  </w:p>
                </w:tc>
              </w:sdtContent>
            </w:sdt>
            <w:tc>
              <w:tcPr>
                <w:tcW w:w="2127" w:type="dxa"/>
                <w:tcBorders>
                  <w:top w:val="single" w:color="auto" w:sz="4" w:space="0"/>
                  <w:left w:val="single" w:color="auto" w:sz="4" w:space="0"/>
                  <w:bottom w:val="single" w:color="auto" w:sz="4" w:space="0"/>
                  <w:right w:val="single" w:color="auto" w:sz="4" w:space="0"/>
                </w:tcBorders>
              </w:tcPr>
              <w:p>
                <w:pPr>
                  <w:pStyle w:val="76"/>
                  <w:jc w:val="right"/>
                </w:pPr>
                <w:r>
                  <w:t>2,206,740.56</w:t>
                </w:r>
              </w:p>
            </w:tc>
            <w:tc>
              <w:tcPr>
                <w:tcW w:w="1985" w:type="dxa"/>
                <w:tcBorders>
                  <w:top w:val="single" w:color="auto" w:sz="4" w:space="0"/>
                  <w:left w:val="single" w:color="auto" w:sz="4" w:space="0"/>
                  <w:bottom w:val="single" w:color="auto" w:sz="4" w:space="0"/>
                  <w:right w:val="single" w:color="auto" w:sz="4" w:space="0"/>
                </w:tcBorders>
              </w:tcPr>
              <w:p>
                <w:pPr>
                  <w:pStyle w:val="76"/>
                  <w:jc w:val="right"/>
                </w:pPr>
                <w:r>
                  <w:t>6,725,405.75</w:t>
                </w:r>
              </w:p>
            </w:tc>
            <w:tc>
              <w:tcPr>
                <w:tcW w:w="1851" w:type="dxa"/>
                <w:tcBorders>
                  <w:top w:val="single" w:color="auto" w:sz="4" w:space="0"/>
                  <w:left w:val="single" w:color="auto" w:sz="4" w:space="0"/>
                  <w:bottom w:val="single" w:color="auto" w:sz="4" w:space="0"/>
                  <w:right w:val="single" w:color="auto" w:sz="4" w:space="0"/>
                </w:tcBorders>
              </w:tcPr>
              <w:p>
                <w:pPr>
                  <w:pStyle w:val="76"/>
                  <w:jc w:val="right"/>
                </w:pPr>
                <w:r>
                  <w:t>2,206,740.56</w:t>
                </w:r>
              </w:p>
            </w:tc>
          </w:tr>
        </w:tbl>
        <w:p>
          <w:pPr>
            <w:pStyle w:val="76"/>
          </w:pPr>
        </w:p>
      </w:sdtContent>
    </w:sdt>
    <w:p>
      <w:pPr>
        <w:pStyle w:val="76"/>
        <w:rPr>
          <w:szCs w:val="21"/>
        </w:rPr>
      </w:pPr>
    </w:p>
    <w:sdt>
      <w:sdtPr>
        <w:rPr>
          <w:rFonts w:hint="eastAsia"/>
          <w:b/>
        </w:rPr>
        <w:alias w:val="模块:计入当期损益的政府补助"/>
        <w:tag w:val="_GBC_941e4c9023f94b758b05afb87d550363"/>
        <w:id w:val="25155553"/>
        <w:lock w:val="sdtLocked"/>
        <w:placeholder>
          <w:docPart w:val="GBC22222222222222222222222222222"/>
        </w:placeholder>
      </w:sdtPr>
      <w:sdtEndPr>
        <w:rPr>
          <w:rFonts w:hint="eastAsia"/>
          <w:b w:val="0"/>
        </w:rPr>
      </w:sdtEndPr>
      <w:sdtContent>
        <w:p>
          <w:pPr>
            <w:pStyle w:val="76"/>
            <w:rPr>
              <w:rStyle w:val="41"/>
              <w:rFonts w:ascii="宋体" w:hAnsi="宋体"/>
              <w:b w:val="0"/>
              <w:szCs w:val="21"/>
            </w:rPr>
          </w:pPr>
          <w:r>
            <w:rPr>
              <w:rStyle w:val="41"/>
              <w:rFonts w:hint="eastAsia" w:ascii="宋体" w:hAnsi="宋体"/>
              <w:b w:val="0"/>
              <w:szCs w:val="21"/>
            </w:rPr>
            <w:t>计入当期</w:t>
          </w:r>
          <w:r>
            <w:rPr>
              <w:rFonts w:hint="eastAsia"/>
            </w:rPr>
            <w:t>损益</w:t>
          </w:r>
          <w:r>
            <w:rPr>
              <w:rStyle w:val="41"/>
              <w:rFonts w:hint="eastAsia" w:ascii="宋体" w:hAnsi="宋体"/>
              <w:b w:val="0"/>
              <w:szCs w:val="21"/>
            </w:rPr>
            <w:t>的政府补助</w:t>
          </w:r>
        </w:p>
        <w:sdt>
          <w:sdtPr>
            <w:rPr>
              <w:rStyle w:val="41"/>
              <w:rFonts w:ascii="宋体" w:hAnsi="宋体"/>
              <w:b w:val="0"/>
              <w:szCs w:val="21"/>
            </w:rPr>
            <w:alias w:val="是否适用：计入当期损益的政府补助[双击切换]"/>
            <w:tag w:val="_GBC_c8882fe165a24797aca3c402f799f006"/>
            <w:id w:val="25155529"/>
            <w:lock w:val="sdtContentLocked"/>
            <w:placeholder>
              <w:docPart w:val="GBC22222222222222222222222222222"/>
            </w:placeholder>
          </w:sdtPr>
          <w:sdtEndPr>
            <w:rPr>
              <w:rStyle w:val="41"/>
              <w:rFonts w:ascii="宋体" w:hAnsi="宋体"/>
              <w:b w:val="0"/>
              <w:szCs w:val="21"/>
            </w:rPr>
          </w:sdtEndPr>
          <w:sdtContent>
            <w:p>
              <w:pPr>
                <w:pStyle w:val="76"/>
                <w:rPr>
                  <w:rStyle w:val="41"/>
                  <w:rFonts w:ascii="宋体" w:hAnsi="宋体"/>
                  <w:b w:val="0"/>
                  <w:szCs w:val="21"/>
                </w:rPr>
              </w:pPr>
              <w:r>
                <w:rPr>
                  <w:rStyle w:val="41"/>
                  <w:rFonts w:ascii="宋体" w:hAnsi="宋体"/>
                  <w:b w:val="0"/>
                  <w:szCs w:val="21"/>
                </w:rPr>
                <w:fldChar w:fldCharType="begin"/>
              </w:r>
              <w:r>
                <w:rPr>
                  <w:rStyle w:val="41"/>
                  <w:rFonts w:ascii="宋体" w:hAnsi="宋体"/>
                  <w:b w:val="0"/>
                  <w:szCs w:val="21"/>
                </w:rPr>
                <w:instrText xml:space="preserve"> MACROBUTTON  SnrToggleCheckbox √适用 </w:instrText>
              </w:r>
              <w:r>
                <w:rPr>
                  <w:rStyle w:val="41"/>
                  <w:rFonts w:ascii="宋体" w:hAnsi="宋体"/>
                  <w:b w:val="0"/>
                  <w:szCs w:val="21"/>
                </w:rPr>
                <w:fldChar w:fldCharType="end"/>
              </w:r>
              <w:r>
                <w:rPr>
                  <w:rStyle w:val="41"/>
                  <w:rFonts w:ascii="宋体" w:hAnsi="宋体"/>
                  <w:b w:val="0"/>
                  <w:szCs w:val="21"/>
                </w:rPr>
                <w:fldChar w:fldCharType="begin"/>
              </w:r>
              <w:r>
                <w:rPr>
                  <w:rStyle w:val="41"/>
                  <w:rFonts w:ascii="宋体" w:hAnsi="宋体"/>
                  <w:b w:val="0"/>
                  <w:szCs w:val="21"/>
                </w:rPr>
                <w:instrText xml:space="preserve"> MACROBUTTON  SnrToggleCheckbox □不适用 </w:instrText>
              </w:r>
              <w:r>
                <w:rPr>
                  <w:rStyle w:val="41"/>
                  <w:rFonts w:ascii="宋体" w:hAnsi="宋体"/>
                  <w:b w:val="0"/>
                  <w:szCs w:val="21"/>
                </w:rPr>
                <w:fldChar w:fldCharType="end"/>
              </w:r>
            </w:p>
          </w:sdtContent>
        </w:sdt>
        <w:p>
          <w:pPr>
            <w:pStyle w:val="76"/>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251555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25155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142"/>
            <w:gridCol w:w="1700"/>
            <w:gridCol w:w="141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56" w:hRule="atLeast"/>
              <w:jc w:val="center"/>
            </w:trPr>
            <w:sdt>
              <w:sdtPr>
                <w:rPr>
                  <w:sz w:val="18"/>
                  <w:szCs w:val="18"/>
                </w:rPr>
                <w:tag w:val="_PLD_921b2aed22db42759d12f127db945afe"/>
                <w:id w:val="25155532"/>
                <w:lock w:val="sdtLocked"/>
              </w:sdtPr>
              <w:sdtEndPr>
                <w:rPr>
                  <w:sz w:val="18"/>
                  <w:szCs w:val="18"/>
                </w:rPr>
              </w:sdtEndPr>
              <w:sdtContent>
                <w:tc>
                  <w:tcPr>
                    <w:tcW w:w="4142"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补助项目</w:t>
                    </w:r>
                  </w:p>
                </w:tc>
              </w:sdtContent>
            </w:sdt>
            <w:sdt>
              <w:sdtPr>
                <w:rPr>
                  <w:sz w:val="18"/>
                  <w:szCs w:val="18"/>
                </w:rPr>
                <w:tag w:val="_PLD_b153949e35ca47018467de6ef3800cf5"/>
                <w:id w:val="25155533"/>
                <w:lock w:val="sdtLocked"/>
              </w:sdtPr>
              <w:sdtEndPr>
                <w:rPr>
                  <w:sz w:val="18"/>
                  <w:szCs w:val="18"/>
                </w:rPr>
              </w:sdtEndPr>
              <w:sdtContent>
                <w:tc>
                  <w:tcPr>
                    <w:tcW w:w="1700"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本期发生</w:t>
                    </w:r>
                    <w:r>
                      <w:rPr>
                        <w:rFonts w:hint="eastAsia"/>
                        <w:sz w:val="18"/>
                        <w:szCs w:val="18"/>
                      </w:rPr>
                      <w:t>金</w:t>
                    </w:r>
                    <w:r>
                      <w:rPr>
                        <w:sz w:val="18"/>
                        <w:szCs w:val="18"/>
                      </w:rPr>
                      <w:t>额</w:t>
                    </w:r>
                  </w:p>
                </w:tc>
              </w:sdtContent>
            </w:sdt>
            <w:sdt>
              <w:sdtPr>
                <w:rPr>
                  <w:sz w:val="18"/>
                  <w:szCs w:val="18"/>
                </w:rPr>
                <w:tag w:val="_PLD_bf693dd17f244c38afd88855e4186d7d"/>
                <w:id w:val="25155534"/>
                <w:lock w:val="sdtLocked"/>
              </w:sdtPr>
              <w:sdtEndPr>
                <w:rPr>
                  <w:sz w:val="18"/>
                  <w:szCs w:val="18"/>
                </w:rPr>
              </w:sdtEndPr>
              <w:sdtContent>
                <w:tc>
                  <w:tcPr>
                    <w:tcW w:w="1418"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上期发生</w:t>
                    </w:r>
                    <w:r>
                      <w:rPr>
                        <w:rFonts w:hint="eastAsia"/>
                        <w:sz w:val="18"/>
                        <w:szCs w:val="18"/>
                      </w:rPr>
                      <w:t>金</w:t>
                    </w:r>
                    <w:r>
                      <w:rPr>
                        <w:sz w:val="18"/>
                        <w:szCs w:val="18"/>
                      </w:rPr>
                      <w:t>额</w:t>
                    </w:r>
                  </w:p>
                </w:tc>
              </w:sdtContent>
            </w:sdt>
            <w:sdt>
              <w:sdtPr>
                <w:rPr>
                  <w:sz w:val="18"/>
                  <w:szCs w:val="18"/>
                </w:rPr>
                <w:tag w:val="_PLD_532c78ae9a7849fe9994cace73120659"/>
                <w:id w:val="25155535"/>
                <w:lock w:val="sdtLocked"/>
              </w:sdtPr>
              <w:sdtEndPr>
                <w:rPr>
                  <w:sz w:val="18"/>
                  <w:szCs w:val="18"/>
                </w:rPr>
              </w:sdtEndPr>
              <w:sdtContent>
                <w:tc>
                  <w:tcPr>
                    <w:tcW w:w="1633"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与资产相关/与收益相关</w:t>
                    </w:r>
                  </w:p>
                </w:tc>
              </w:sdtContent>
            </w:sdt>
          </w:tr>
          <w:sdt>
            <w:sdtPr>
              <w:rPr>
                <w:sz w:val="18"/>
                <w:szCs w:val="18"/>
              </w:rPr>
              <w:alias w:val="计入当期损益的政府补助明细"/>
              <w:tag w:val="_GBC_8d8ea3026a664e94a38609c0bcec2101"/>
              <w:id w:val="2515553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rFonts w:hint="eastAsia"/>
                        <w:sz w:val="18"/>
                        <w:szCs w:val="18"/>
                      </w:rPr>
                      <w:t>柳州市发明</w:t>
                    </w:r>
                    <w:r>
                      <w:rPr>
                        <w:sz w:val="18"/>
                        <w:szCs w:val="18"/>
                      </w:rPr>
                      <w:t>专利奖励</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286,500.00</w:t>
                    </w: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与收益相关</w:t>
                    </w:r>
                  </w:p>
                </w:tc>
              </w:tr>
            </w:sdtContent>
          </w:sdt>
          <w:sdt>
            <w:sdtPr>
              <w:rPr>
                <w:sz w:val="18"/>
                <w:szCs w:val="18"/>
              </w:rPr>
              <w:alias w:val="计入当期损益的政府补助明细"/>
              <w:tag w:val="_GBC_8d8ea3026a664e94a38609c0bcec2101"/>
              <w:id w:val="2515553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三焦加煤、推焦除尘地面站改造工程政府补助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98,993.82</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与资产相关</w:t>
                    </w:r>
                  </w:p>
                </w:tc>
              </w:tr>
            </w:sdtContent>
          </w:sdt>
          <w:sdt>
            <w:sdtPr>
              <w:rPr>
                <w:sz w:val="18"/>
                <w:szCs w:val="18"/>
              </w:rPr>
              <w:alias w:val="计入当期损益的政府补助明细"/>
              <w:tag w:val="_GBC_8d8ea3026a664e94a38609c0bcec2101"/>
              <w:id w:val="2515553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焦化厂干熄焦节能技术改造工程政府补助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318,945.84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与资产相关</w:t>
                    </w:r>
                  </w:p>
                </w:tc>
              </w:tr>
            </w:sdtContent>
          </w:sdt>
          <w:sdt>
            <w:sdtPr>
              <w:rPr>
                <w:sz w:val="18"/>
                <w:szCs w:val="18"/>
              </w:rPr>
              <w:alias w:val="计入当期损益的政府补助明细"/>
              <w:tag w:val="_GBC_8d8ea3026a664e94a38609c0bcec2101"/>
              <w:id w:val="2515553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3#4#干熄焦节能改造工程政府补助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269,937.00</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与资产相关</w:t>
                    </w:r>
                  </w:p>
                </w:tc>
              </w:tr>
            </w:sdtContent>
          </w:sdt>
          <w:sdt>
            <w:sdtPr>
              <w:rPr>
                <w:sz w:val="18"/>
                <w:szCs w:val="18"/>
              </w:rPr>
              <w:alias w:val="计入当期损益的政府补助明细"/>
              <w:tag w:val="_GBC_8d8ea3026a664e94a38609c0bcec2101"/>
              <w:id w:val="2515554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160吨/h干熄焦节能改造工程政府补助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220,032.24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焦炉煤气氨气回收综合利用工程政府补助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90,997.98</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110M2、265M2烧结机头烟气脱硫工程政府补助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168,694.44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1#烧结机(360M2烧结机)技术改造工程政府补助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268,053.84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第二高速线材技术改造工程政府补助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165,086.64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合金棒材生产线技术改造政府补助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99,557.52</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150吨转炉技术改造政府补助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133,236.12</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棒线型材厂第四棒线生产线技术改造工程政府补助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715,666.68</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2*360M2烧结机头烟气脱硫工程政府补助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66,666.66</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4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焦化全干熄焦配套完善工程政府补助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83,333.34</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5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焦化230万吨/年煤调湿工程政府补助</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363,333.36</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sdt>
            <w:sdtPr>
              <w:rPr>
                <w:sz w:val="18"/>
                <w:szCs w:val="18"/>
              </w:rPr>
              <w:alias w:val="计入当期损益的政府补助明细"/>
              <w:tag w:val="_GBC_8d8ea3026a664e94a38609c0bcec2101"/>
              <w:id w:val="2515555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2" w:type="dxa"/>
                    <w:tcBorders>
                      <w:top w:val="single" w:color="auto" w:sz="4" w:space="0"/>
                      <w:left w:val="single" w:color="auto" w:sz="4" w:space="0"/>
                      <w:bottom w:val="single" w:color="auto" w:sz="4" w:space="0"/>
                      <w:right w:val="single" w:color="auto" w:sz="4" w:space="0"/>
                    </w:tcBorders>
                    <w:vAlign w:val="center"/>
                  </w:tcPr>
                  <w:p>
                    <w:pPr>
                      <w:pStyle w:val="76"/>
                      <w:rPr>
                        <w:sz w:val="18"/>
                        <w:szCs w:val="18"/>
                      </w:rPr>
                    </w:pPr>
                    <w:r>
                      <w:rPr>
                        <w:sz w:val="18"/>
                        <w:szCs w:val="18"/>
                      </w:rPr>
                      <w:t>球团烟气脱硫技术改造工程</w:t>
                    </w:r>
                  </w:p>
                </w:tc>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133,333.32</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sz w:val="18"/>
                        <w:szCs w:val="18"/>
                      </w:rPr>
                      <w:t>与资产相关</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sdt>
              <w:sdtPr>
                <w:rPr>
                  <w:sz w:val="18"/>
                  <w:szCs w:val="18"/>
                </w:rPr>
                <w:tag w:val="_PLD_3e75ec41658f4fb8986d8af9b970fbda"/>
                <w:id w:val="25155552"/>
                <w:lock w:val="sdtLocked"/>
              </w:sdtPr>
              <w:sdtEndPr>
                <w:rPr>
                  <w:sz w:val="18"/>
                  <w:szCs w:val="18"/>
                </w:rPr>
              </w:sdtEndPr>
              <w:sdtContent>
                <w:tc>
                  <w:tcPr>
                    <w:tcW w:w="4142"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合计</w:t>
                    </w:r>
                  </w:p>
                </w:tc>
              </w:sdtContent>
            </w:sdt>
            <w:tc>
              <w:tcPr>
                <w:tcW w:w="1700"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286,500.00</w:t>
                </w:r>
              </w:p>
            </w:tc>
            <w:tc>
              <w:tcPr>
                <w:tcW w:w="1418"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3,195,868.80</w:t>
                </w:r>
              </w:p>
            </w:tc>
            <w:tc>
              <w:tcPr>
                <w:tcW w:w="1633"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p>
            </w:tc>
          </w:tr>
        </w:tbl>
        <w:p>
          <w:pPr>
            <w:pStyle w:val="76"/>
          </w:pPr>
        </w:p>
        <w:p>
          <w:pPr>
            <w:pStyle w:val="76"/>
          </w:pPr>
        </w:p>
      </w:sdtContent>
    </w:sdt>
    <w:p>
      <w:pPr>
        <w:pStyle w:val="76"/>
        <w:rPr>
          <w:szCs w:val="21"/>
        </w:rPr>
      </w:pPr>
    </w:p>
    <w:sdt>
      <w:sdtPr>
        <w:rPr>
          <w:rFonts w:hint="eastAsia"/>
          <w:szCs w:val="21"/>
        </w:rPr>
        <w:alias w:val="模块:营业外收入说明"/>
        <w:tag w:val="_GBC_613f834d57f34b828d1fb937ee139a13"/>
        <w:id w:val="25155555"/>
        <w:lock w:val="sdtLocked"/>
        <w:placeholder>
          <w:docPart w:val="GBC22222222222222222222222222222"/>
        </w:placeholder>
      </w:sdtPr>
      <w:sdtEndPr>
        <w:rPr>
          <w:rFonts w:hint="eastAsia"/>
          <w:szCs w:val="21"/>
        </w:rPr>
      </w:sdtEndPr>
      <w:sdtContent>
        <w:p>
          <w:pPr>
            <w:pStyle w:val="76"/>
            <w:spacing w:before="60" w:after="60" w:line="360" w:lineRule="exact"/>
            <w:rPr>
              <w:szCs w:val="21"/>
            </w:rPr>
          </w:pPr>
          <w:r>
            <w:rPr>
              <w:rFonts w:hint="eastAsia"/>
              <w:szCs w:val="21"/>
            </w:rPr>
            <w:t>其他说明：</w:t>
          </w:r>
        </w:p>
        <w:sdt>
          <w:sdtPr>
            <w:rPr>
              <w:szCs w:val="21"/>
            </w:rPr>
            <w:alias w:val="是否适用：营业外收入说明[双击切换]"/>
            <w:tag w:val="_GBC_9bd4fc9f0fcc4e85bee85b3ce60c8b2c"/>
            <w:id w:val="2515555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sdt>
      <w:sdtPr>
        <w:rPr>
          <w:rFonts w:hint="eastAsia" w:ascii="宋体" w:hAnsi="宋体" w:cs="宋体"/>
          <w:b w:val="0"/>
          <w:bCs w:val="0"/>
          <w:kern w:val="0"/>
          <w:szCs w:val="21"/>
        </w:rPr>
        <w:alias w:val="模块:营业外支出"/>
        <w:tag w:val="_GBC_7c51aa70be1f405d954dc316ed26b5b4"/>
        <w:id w:val="25155572"/>
        <w:lock w:val="sdtLocked"/>
        <w:placeholder>
          <w:docPart w:val="GBC22222222222222222222222222222"/>
        </w:placeholder>
      </w:sdtPr>
      <w:sdtEndPr>
        <w:rPr>
          <w:rFonts w:hint="eastAsia" w:asciiTheme="minorHAnsi" w:hAnsiTheme="minorHAnsi" w:cstheme="minorBidi"/>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营业外支出</w:t>
          </w:r>
        </w:p>
        <w:sdt>
          <w:sdtPr>
            <w:alias w:val="是否适用：营业外支出[双击切换]"/>
            <w:tag w:val="_GBC_6d4b8ac674ce425b8c798e92aa1fe455"/>
            <w:id w:val="2515555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营业外支出"/>
              <w:tag w:val="_GBC_f8678a9a1bbf4b0697744c5d21146839"/>
              <w:id w:val="251555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251555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985"/>
            <w:gridCol w:w="2127"/>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bf292cb0a7463788e39d1bdabb85fc"/>
                <w:id w:val="25155559"/>
                <w:lock w:val="sdtLocked"/>
              </w:sdtPr>
              <w:sdtContent>
                <w:tc>
                  <w:tcPr>
                    <w:tcW w:w="280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项目</w:t>
                    </w:r>
                  </w:p>
                </w:tc>
              </w:sdtContent>
            </w:sdt>
            <w:sdt>
              <w:sdtPr>
                <w:tag w:val="_PLD_36a30142728e41bb9c215b73cfe3204c"/>
                <w:id w:val="25155560"/>
                <w:lock w:val="sdtLocked"/>
              </w:sdtPr>
              <w:sdtContent>
                <w:tc>
                  <w:tcPr>
                    <w:tcW w:w="1985"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本期发生额</w:t>
                    </w:r>
                  </w:p>
                </w:tc>
              </w:sdtContent>
            </w:sdt>
            <w:sdt>
              <w:sdtPr>
                <w:tag w:val="_PLD_16b0936bf8024bdf99cf883b1827419f"/>
                <w:id w:val="25155561"/>
                <w:lock w:val="sdtLocked"/>
              </w:sdtPr>
              <w:sdtContent>
                <w:tc>
                  <w:tcPr>
                    <w:tcW w:w="2127"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上期发生额</w:t>
                    </w:r>
                  </w:p>
                </w:tc>
              </w:sdtContent>
            </w:sdt>
            <w:sdt>
              <w:sdtPr>
                <w:tag w:val="_PLD_92014506c2824f6fbe79731f91aa61bc"/>
                <w:id w:val="25155562"/>
                <w:lock w:val="sdtLocked"/>
              </w:sdtPr>
              <w:sdtContent>
                <w:tc>
                  <w:tcPr>
                    <w:tcW w:w="2136"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center"/>
                      <w:rPr>
                        <w:szCs w:val="21"/>
                      </w:rPr>
                    </w:pPr>
                    <w:r>
                      <w:rPr>
                        <w:rFonts w:hint="eastAsia"/>
                        <w:szCs w:val="21"/>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2273c2b8444b53b1d55cd4655089a0"/>
                <w:id w:val="25155563"/>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非流动资产处置损失合计</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f592ee0cc24d8e8fa527035897eeb0"/>
                <w:id w:val="25155564"/>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其中：固定资产处置损失</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43b2a1cd6f242659d5a5fd4529789d4"/>
                <w:id w:val="25155565"/>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ind w:firstLine="630" w:firstLineChars="300"/>
                      <w:rPr>
                        <w:szCs w:val="21"/>
                      </w:rPr>
                    </w:pPr>
                    <w:r>
                      <w:rPr>
                        <w:rFonts w:hint="eastAsia"/>
                        <w:szCs w:val="21"/>
                      </w:rPr>
                      <w:t>无形资产处置损失</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53d1ad8d2b4caaa20b1148cb431ce5"/>
                <w:id w:val="25155566"/>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债务重组损失</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f6c8e36ebb64fad860979a13314fa7a"/>
                <w:id w:val="25155567"/>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非货币性资产交换损失</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707af1f17d74e7e8797d89b47050da8"/>
                <w:id w:val="25155568"/>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Cs w:val="21"/>
                      </w:rPr>
                    </w:pPr>
                    <w:r>
                      <w:rPr>
                        <w:rFonts w:hint="eastAsia"/>
                        <w:szCs w:val="21"/>
                      </w:rPr>
                      <w:t>对外捐赠</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r>
                  <w:t>891,261.29</w:t>
                </w: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p>
            </w:tc>
          </w:tr>
          <w:sdt>
            <w:sdtPr>
              <w:rPr>
                <w:rFonts w:hint="eastAsia"/>
                <w:szCs w:val="21"/>
              </w:rPr>
              <w:alias w:val="营业外支出明细"/>
              <w:tag w:val="_GBC_5b9df89383994b599a7029fc70bb3881"/>
              <w:id w:val="2515556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1"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其他</w:t>
                    </w:r>
                  </w:p>
                </w:tc>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r>
                      <w:t>1,600.00</w:t>
                    </w: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r>
                      <w:t>4,116.00</w:t>
                    </w:r>
                  </w:p>
                </w:tc>
                <w:tc>
                  <w:tcPr>
                    <w:tcW w:w="2136" w:type="dxa"/>
                    <w:tcBorders>
                      <w:top w:val="single" w:color="auto" w:sz="4" w:space="0"/>
                      <w:left w:val="single" w:color="auto" w:sz="4" w:space="0"/>
                      <w:bottom w:val="single" w:color="auto" w:sz="4" w:space="0"/>
                      <w:right w:val="single" w:color="auto" w:sz="4" w:space="0"/>
                    </w:tcBorders>
                  </w:tcPr>
                  <w:p>
                    <w:pPr>
                      <w:pStyle w:val="76"/>
                      <w:jc w:val="right"/>
                      <w:rPr>
                        <w:szCs w:val="21"/>
                      </w:rPr>
                    </w:pPr>
                    <w:r>
                      <w:t>1,600.00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2b9d5e76f4549198980f8ca24fe3112"/>
                <w:id w:val="25155570"/>
                <w:lock w:val="sdtLocked"/>
              </w:sdtPr>
              <w:sdtContent>
                <w:tc>
                  <w:tcPr>
                    <w:tcW w:w="2801" w:type="dxa"/>
                    <w:tcBorders>
                      <w:top w:val="single" w:color="auto" w:sz="4" w:space="0"/>
                      <w:left w:val="single" w:color="auto" w:sz="4" w:space="0"/>
                      <w:bottom w:val="single" w:color="auto" w:sz="4" w:space="0"/>
                      <w:right w:val="single" w:color="auto" w:sz="4" w:space="0"/>
                    </w:tcBorders>
                  </w:tcPr>
                  <w:p>
                    <w:pPr>
                      <w:pStyle w:val="76"/>
                      <w:ind w:right="6"/>
                      <w:jc w:val="center"/>
                      <w:rPr>
                        <w:szCs w:val="21"/>
                      </w:rPr>
                    </w:pPr>
                    <w:r>
                      <w:rPr>
                        <w:rFonts w:hint="eastAsia"/>
                        <w:szCs w:val="21"/>
                      </w:rPr>
                      <w:t>合计</w:t>
                    </w:r>
                  </w:p>
                </w:tc>
              </w:sdtContent>
            </w:sdt>
            <w:tc>
              <w:tcPr>
                <w:tcW w:w="1985" w:type="dxa"/>
                <w:tcBorders>
                  <w:top w:val="single" w:color="auto" w:sz="4" w:space="0"/>
                  <w:left w:val="single" w:color="auto" w:sz="4" w:space="0"/>
                  <w:bottom w:val="single" w:color="auto" w:sz="4" w:space="0"/>
                  <w:right w:val="single" w:color="auto" w:sz="4" w:space="0"/>
                </w:tcBorders>
              </w:tcPr>
              <w:p>
                <w:pPr>
                  <w:pStyle w:val="76"/>
                  <w:jc w:val="right"/>
                  <w:rPr>
                    <w:szCs w:val="21"/>
                  </w:rPr>
                </w:pPr>
                <w:r>
                  <w:t>1,600.00</w:t>
                </w:r>
              </w:p>
            </w:tc>
            <w:tc>
              <w:tcPr>
                <w:tcW w:w="2127" w:type="dxa"/>
                <w:tcBorders>
                  <w:top w:val="single" w:color="auto" w:sz="4" w:space="0"/>
                  <w:left w:val="single" w:color="auto" w:sz="4" w:space="0"/>
                  <w:bottom w:val="single" w:color="auto" w:sz="4" w:space="0"/>
                  <w:right w:val="single" w:color="auto" w:sz="4" w:space="0"/>
                </w:tcBorders>
              </w:tcPr>
              <w:p>
                <w:pPr>
                  <w:pStyle w:val="76"/>
                  <w:jc w:val="right"/>
                  <w:rPr>
                    <w:szCs w:val="21"/>
                  </w:rPr>
                </w:pPr>
                <w:r>
                  <w:t>895,377.29</w:t>
                </w:r>
              </w:p>
            </w:tc>
            <w:tc>
              <w:tcPr>
                <w:tcW w:w="2136"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Cs w:val="21"/>
                  </w:rPr>
                </w:pPr>
                <w:r>
                  <w:t>1,600.00</w:t>
                </w:r>
              </w:p>
            </w:tc>
          </w:tr>
        </w:tbl>
        <w:p>
          <w:pPr>
            <w:pStyle w:val="76"/>
          </w:pPr>
        </w:p>
        <w:p>
          <w:pPr>
            <w:pStyle w:val="76"/>
            <w:rPr>
              <w:szCs w:val="21"/>
            </w:rPr>
          </w:pPr>
        </w:p>
      </w:sdtContent>
    </w:sdt>
    <w:p>
      <w:pPr>
        <w:pStyle w:val="76"/>
      </w:pPr>
    </w:p>
    <w:sdt>
      <w:sdtPr>
        <w:rPr>
          <w:rFonts w:hint="eastAsia" w:ascii="宋体" w:hAnsi="宋体" w:cs="宋体"/>
          <w:b w:val="0"/>
          <w:bCs w:val="0"/>
          <w:kern w:val="0"/>
          <w:szCs w:val="21"/>
        </w:rPr>
        <w:alias w:val="模块:所得税费用"/>
        <w:tag w:val="_GBC_c8eb4731730a4ca395e992a85b3eafe1"/>
        <w:id w:val="25155597"/>
        <w:lock w:val="sdtLocked"/>
        <w:placeholder>
          <w:docPart w:val="GBC22222222222222222222222222222"/>
        </w:placeholder>
      </w:sdtPr>
      <w:sdtEndPr>
        <w:rPr>
          <w:rFonts w:hint="default" w:asciiTheme="minorHAnsi" w:hAnsiTheme="minorHAnsi" w:cstheme="minorBidi"/>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所得税费用</w:t>
          </w:r>
        </w:p>
        <w:p>
          <w:pPr>
            <w:pStyle w:val="80"/>
            <w:numPr>
              <w:ilvl w:val="0"/>
              <w:numId w:val="72"/>
            </w:numPr>
          </w:pPr>
          <w:r>
            <w:rPr>
              <w:rFonts w:hint="eastAsia"/>
            </w:rPr>
            <w:t>所得税费用表</w:t>
          </w:r>
        </w:p>
        <w:sdt>
          <w:sdtPr>
            <w:alias w:val="是否适用：所得税费用表[双击切换]"/>
            <w:tag w:val="_GBC_61ff35087b014685a6e03347957ab922"/>
            <w:id w:val="2515557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wordWrap w:val="0"/>
            <w:jc w:val="right"/>
            <w:rPr>
              <w:szCs w:val="21"/>
            </w:rPr>
          </w:pPr>
          <w:r>
            <w:rPr>
              <w:rFonts w:hint="eastAsia"/>
              <w:szCs w:val="21"/>
            </w:rPr>
            <w:t>单位：</w:t>
          </w:r>
          <w:sdt>
            <w:sdtPr>
              <w:rPr>
                <w:rFonts w:hint="eastAsia"/>
                <w:szCs w:val="21"/>
              </w:rPr>
              <w:alias w:val="单位：财务附注：所得税费用"/>
              <w:tag w:val="_GBC_18ed8ed511fe4791a90ee25fc956bd2b"/>
              <w:id w:val="251555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251555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3157"/>
            <w:gridCol w:w="2877"/>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trHeight w:val="87" w:hRule="atLeast"/>
            </w:trPr>
            <w:sdt>
              <w:sdtPr>
                <w:tag w:val="_PLD_951f380ec376457cb80126c7d6018f65"/>
                <w:id w:val="25155576"/>
                <w:lock w:val="sdtLocked"/>
              </w:sdtPr>
              <w:sdtContent>
                <w:tc>
                  <w:tcPr>
                    <w:tcW w:w="3157" w:type="dxa"/>
                    <w:vAlign w:val="center"/>
                  </w:tcPr>
                  <w:p>
                    <w:pPr>
                      <w:pStyle w:val="76"/>
                      <w:ind w:right="6"/>
                      <w:jc w:val="center"/>
                      <w:rPr>
                        <w:szCs w:val="21"/>
                      </w:rPr>
                    </w:pPr>
                    <w:r>
                      <w:rPr>
                        <w:rFonts w:hint="eastAsia"/>
                        <w:szCs w:val="21"/>
                      </w:rPr>
                      <w:t>项目</w:t>
                    </w:r>
                  </w:p>
                </w:tc>
              </w:sdtContent>
            </w:sdt>
            <w:sdt>
              <w:sdtPr>
                <w:tag w:val="_PLD_1e59791ce9d340b7b60e63b833f13708"/>
                <w:id w:val="25155577"/>
                <w:lock w:val="sdtLocked"/>
              </w:sdtPr>
              <w:sdtContent>
                <w:tc>
                  <w:tcPr>
                    <w:tcW w:w="2877" w:type="dxa"/>
                    <w:vAlign w:val="center"/>
                  </w:tcPr>
                  <w:p>
                    <w:pPr>
                      <w:pStyle w:val="76"/>
                      <w:ind w:right="6"/>
                      <w:jc w:val="center"/>
                      <w:rPr>
                        <w:szCs w:val="21"/>
                      </w:rPr>
                    </w:pPr>
                    <w:r>
                      <w:rPr>
                        <w:rFonts w:hint="eastAsia"/>
                        <w:szCs w:val="21"/>
                      </w:rPr>
                      <w:t>本期发生额</w:t>
                    </w:r>
                  </w:p>
                </w:tc>
              </w:sdtContent>
            </w:sdt>
            <w:sdt>
              <w:sdtPr>
                <w:tag w:val="_PLD_23c0825dcbc74481a17a7811dee40e02"/>
                <w:id w:val="25155578"/>
                <w:lock w:val="sdtLocked"/>
              </w:sdtPr>
              <w:sdtContent>
                <w:tc>
                  <w:tcPr>
                    <w:tcW w:w="2861" w:type="dxa"/>
                    <w:vAlign w:val="center"/>
                  </w:tcPr>
                  <w:p>
                    <w:pPr>
                      <w:pStyle w:val="76"/>
                      <w:ind w:right="6"/>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b39e72286fda4bb1bc103f3a09099c07"/>
                <w:id w:val="25155579"/>
                <w:lock w:val="sdtLocked"/>
              </w:sdtPr>
              <w:sdtContent>
                <w:tc>
                  <w:tcPr>
                    <w:tcW w:w="3157" w:type="dxa"/>
                  </w:tcPr>
                  <w:p>
                    <w:pPr>
                      <w:pStyle w:val="76"/>
                      <w:ind w:right="6"/>
                      <w:rPr>
                        <w:b/>
                        <w:bCs/>
                        <w:szCs w:val="21"/>
                      </w:rPr>
                    </w:pPr>
                    <w:r>
                      <w:rPr>
                        <w:rFonts w:hint="eastAsia"/>
                        <w:szCs w:val="21"/>
                      </w:rPr>
                      <w:t>当期所得税费用</w:t>
                    </w:r>
                  </w:p>
                </w:tc>
              </w:sdtContent>
            </w:sdt>
            <w:tc>
              <w:tcPr>
                <w:tcW w:w="2877" w:type="dxa"/>
              </w:tcPr>
              <w:p>
                <w:pPr>
                  <w:pStyle w:val="76"/>
                  <w:jc w:val="right"/>
                  <w:rPr>
                    <w:szCs w:val="21"/>
                  </w:rPr>
                </w:pPr>
                <w:r>
                  <w:rPr>
                    <w:szCs w:val="21"/>
                  </w:rPr>
                  <w:t>360,101,180.85</w:t>
                </w:r>
              </w:p>
            </w:tc>
            <w:tc>
              <w:tcPr>
                <w:tcW w:w="2861"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50b3fec6faac445b9c252906a5bcf507"/>
                <w:id w:val="25155580"/>
                <w:lock w:val="sdtLocked"/>
              </w:sdtPr>
              <w:sdtContent>
                <w:tc>
                  <w:tcPr>
                    <w:tcW w:w="3157" w:type="dxa"/>
                  </w:tcPr>
                  <w:p>
                    <w:pPr>
                      <w:pStyle w:val="76"/>
                      <w:ind w:right="6"/>
                      <w:rPr>
                        <w:szCs w:val="21"/>
                      </w:rPr>
                    </w:pPr>
                    <w:r>
                      <w:rPr>
                        <w:rFonts w:hint="eastAsia"/>
                        <w:szCs w:val="21"/>
                      </w:rPr>
                      <w:t>递延所得税费用</w:t>
                    </w:r>
                  </w:p>
                </w:tc>
              </w:sdtContent>
            </w:sdt>
            <w:tc>
              <w:tcPr>
                <w:tcW w:w="2877" w:type="dxa"/>
              </w:tcPr>
              <w:p>
                <w:pPr>
                  <w:pStyle w:val="76"/>
                  <w:jc w:val="right"/>
                  <w:rPr>
                    <w:szCs w:val="21"/>
                  </w:rPr>
                </w:pPr>
              </w:p>
            </w:tc>
            <w:tc>
              <w:tcPr>
                <w:tcW w:w="2861" w:type="dxa"/>
              </w:tcPr>
              <w:p>
                <w:pPr>
                  <w:pStyle w:val="76"/>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10ad171e28bb4cf3957eba2cca611ce8"/>
                <w:id w:val="25155581"/>
                <w:lock w:val="sdtLocked"/>
              </w:sdtPr>
              <w:sdtContent>
                <w:tc>
                  <w:tcPr>
                    <w:tcW w:w="3157" w:type="dxa"/>
                  </w:tcPr>
                  <w:p>
                    <w:pPr>
                      <w:pStyle w:val="76"/>
                      <w:ind w:right="6"/>
                      <w:jc w:val="center"/>
                      <w:rPr>
                        <w:szCs w:val="21"/>
                      </w:rPr>
                    </w:pPr>
                    <w:r>
                      <w:rPr>
                        <w:rFonts w:hint="eastAsia"/>
                        <w:szCs w:val="21"/>
                      </w:rPr>
                      <w:t>合计</w:t>
                    </w:r>
                  </w:p>
                </w:tc>
              </w:sdtContent>
            </w:sdt>
            <w:tc>
              <w:tcPr>
                <w:tcW w:w="2877" w:type="dxa"/>
              </w:tcPr>
              <w:p>
                <w:pPr>
                  <w:pStyle w:val="76"/>
                  <w:ind w:right="6"/>
                  <w:jc w:val="right"/>
                  <w:rPr>
                    <w:szCs w:val="21"/>
                  </w:rPr>
                </w:pPr>
                <w:r>
                  <w:rPr>
                    <w:szCs w:val="21"/>
                  </w:rPr>
                  <w:t>360,101,180.85</w:t>
                </w:r>
              </w:p>
            </w:tc>
            <w:tc>
              <w:tcPr>
                <w:tcW w:w="2861" w:type="dxa"/>
              </w:tcPr>
              <w:p>
                <w:pPr>
                  <w:pStyle w:val="76"/>
                  <w:ind w:right="6"/>
                  <w:jc w:val="right"/>
                  <w:rPr>
                    <w:szCs w:val="21"/>
                  </w:rPr>
                </w:pPr>
              </w:p>
            </w:tc>
          </w:tr>
        </w:tbl>
        <w:p>
          <w:pPr>
            <w:pStyle w:val="76"/>
            <w:rPr>
              <w:szCs w:val="21"/>
            </w:rPr>
          </w:pPr>
        </w:p>
        <w:p>
          <w:pPr>
            <w:pStyle w:val="80"/>
            <w:numPr>
              <w:ilvl w:val="0"/>
              <w:numId w:val="72"/>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515558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会计利润与所得税费用调整过程"/>
              <w:tag w:val="_GBC_8b3d0d6296b944dcbc6077158d5eb7ca"/>
              <w:id w:val="25155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251555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889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
          <w:tblGrid>
            <w:gridCol w:w="6553"/>
            <w:gridCol w:w="23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762c770e68ab4734ab4b1455db567f92"/>
                <w:id w:val="25155585"/>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项目</w:t>
                    </w:r>
                  </w:p>
                </w:tc>
              </w:sdtContent>
            </w:sdt>
            <w:sdt>
              <w:sdtPr>
                <w:tag w:val="_PLD_dbffde77b3344828a64e53b9962d0e3a"/>
                <w:id w:val="25155586"/>
                <w:lock w:val="sdtLocked"/>
              </w:sdtPr>
              <w:sdtContent>
                <w:tc>
                  <w:tcPr>
                    <w:tcW w:w="2338" w:type="dxa"/>
                    <w:tcBorders>
                      <w:top w:val="single" w:color="auto" w:sz="4" w:space="0"/>
                      <w:left w:val="single" w:color="auto" w:sz="4" w:space="0"/>
                      <w:bottom w:val="single" w:color="auto" w:sz="4" w:space="0"/>
                      <w:right w:val="single" w:color="auto" w:sz="4" w:space="0"/>
                    </w:tcBorders>
                    <w:shd w:val="clear" w:color="auto" w:fill="auto"/>
                  </w:tcPr>
                  <w:p>
                    <w:pPr>
                      <w:pStyle w:val="76"/>
                      <w:jc w:val="center"/>
                    </w:pPr>
                    <w:r>
                      <w:rPr>
                        <w:rFonts w:hint="eastAsia"/>
                      </w:rPr>
                      <w:t>本期发生额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e49aa9df3fa0441889c07b63b32585c5"/>
                <w:id w:val="25155587"/>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rPr>
                        <w:b/>
                        <w:bCs/>
                        <w:szCs w:val="21"/>
                      </w:rPr>
                    </w:pPr>
                    <w:r>
                      <w:rPr>
                        <w:rFonts w:hint="eastAsia"/>
                        <w:szCs w:val="21"/>
                      </w:rPr>
                      <w:t>利润总额</w:t>
                    </w:r>
                  </w:p>
                </w:tc>
              </w:sdtContent>
            </w:sdt>
            <w:tc>
              <w:tcPr>
                <w:tcW w:w="2338" w:type="dxa"/>
                <w:tcBorders>
                  <w:top w:val="single" w:color="auto" w:sz="4" w:space="0"/>
                  <w:left w:val="single" w:color="auto" w:sz="4" w:space="0"/>
                  <w:bottom w:val="single" w:color="auto" w:sz="6" w:space="0"/>
                  <w:right w:val="single" w:color="auto" w:sz="6" w:space="0"/>
                </w:tcBorders>
                <w:shd w:val="clear" w:color="auto" w:fill="auto"/>
              </w:tcPr>
              <w:p>
                <w:pPr>
                  <w:pStyle w:val="76"/>
                  <w:jc w:val="right"/>
                </w:pPr>
                <w:r>
                  <w:t>2,400,674,539.01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bcfd0d413e444c6f881fc95e048d73ce"/>
                <w:id w:val="25155588"/>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按法定</w:t>
                    </w:r>
                    <w:r>
                      <w:t>/</w:t>
                    </w:r>
                    <w:r>
                      <w:rPr>
                        <w:rFonts w:hint="eastAsia"/>
                      </w:rPr>
                      <w:t>适用税率计算的所得税费用</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r>
                  <w:t>360,101,180.85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trPr>
              <w:trHeight w:val="139" w:hRule="atLeast"/>
            </w:trPr>
            <w:sdt>
              <w:sdtPr>
                <w:tag w:val="_PLD_dc5f6e856113456cb1312b5cf234201d"/>
                <w:id w:val="25155589"/>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子公司适用不同税率的影响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a18b0f1e64674563b277a2e43b991ab6"/>
                <w:id w:val="25155590"/>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调整以前期间所得税的影响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451dd13012144866aaf62c35812344d7"/>
                <w:id w:val="25155591"/>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非应税收入的影响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0906044dc7ff47d6ba8d4be46514c623"/>
                <w:id w:val="25155592"/>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不可抵扣的成本、费用和损失的影响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958280e6456341698f323fb9f71bf973"/>
                <w:id w:val="25155593"/>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使用前期未确认递延所得税资产的可抵扣亏损的影响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ba3d89f087964402b8cb1b2a58f5d0ba"/>
                <w:id w:val="25155594"/>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ind w:right="6"/>
                    </w:pPr>
                    <w:r>
                      <w:rPr>
                        <w:rFonts w:hint="eastAsia"/>
                      </w:rPr>
                      <w:t>本期未确认递延所得税资产的可抵扣暂时性差异或可抵扣亏损的影响</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2fe3b63863164c92a5502c41abff42f1"/>
                <w:id w:val="25155595"/>
                <w:lock w:val="sdtLocked"/>
              </w:sdtPr>
              <w:sdtContent>
                <w:tc>
                  <w:tcPr>
                    <w:tcW w:w="6553"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所得税费用</w:t>
                    </w:r>
                  </w:p>
                </w:tc>
              </w:sdtContent>
            </w:sdt>
            <w:tc>
              <w:tcPr>
                <w:tcW w:w="2338" w:type="dxa"/>
                <w:tcBorders>
                  <w:top w:val="single" w:color="auto" w:sz="6" w:space="0"/>
                  <w:left w:val="single" w:color="auto" w:sz="4" w:space="0"/>
                  <w:bottom w:val="single" w:color="auto" w:sz="6" w:space="0"/>
                  <w:right w:val="single" w:color="auto" w:sz="6" w:space="0"/>
                </w:tcBorders>
                <w:shd w:val="clear" w:color="auto" w:fill="auto"/>
              </w:tcPr>
              <w:p>
                <w:pPr>
                  <w:pStyle w:val="76"/>
                  <w:jc w:val="right"/>
                </w:pPr>
                <w:r>
                  <w:t>360,101,180.85</w:t>
                </w:r>
              </w:p>
            </w:tc>
          </w:tr>
        </w:tbl>
        <w:p>
          <w:pPr>
            <w:pStyle w:val="76"/>
          </w:pPr>
        </w:p>
        <w:p>
          <w:pPr>
            <w:pStyle w:val="76"/>
            <w:spacing w:before="60" w:after="60"/>
            <w:rPr>
              <w:szCs w:val="21"/>
            </w:rPr>
          </w:pPr>
          <w:r>
            <w:rPr>
              <w:rFonts w:hint="eastAsia"/>
              <w:szCs w:val="21"/>
            </w:rPr>
            <w:t>其他说明：</w:t>
          </w:r>
        </w:p>
        <w:sdt>
          <w:sdtPr>
            <w:rPr>
              <w:szCs w:val="21"/>
            </w:rPr>
            <w:alias w:val="是否适用：所得税费用的说明[双击切换]"/>
            <w:tag w:val="_GBC_0363d79a647b4d96aa5d7b72c93b1e45"/>
            <w:id w:val="25155596"/>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b/>
        </w:rPr>
      </w:pPr>
    </w:p>
    <w:sdt>
      <w:sdtPr>
        <w:rPr>
          <w:rFonts w:hint="eastAsia" w:ascii="宋体" w:hAnsi="宋体" w:cs="宋体"/>
          <w:b w:val="0"/>
          <w:bCs w:val="0"/>
          <w:kern w:val="0"/>
          <w:szCs w:val="21"/>
        </w:rPr>
        <w:alias w:val="模块:其他综合收益"/>
        <w:tag w:val="_GBC_a490950b62a146d9901e0aeb01787f97"/>
        <w:id w:val="25155599"/>
        <w:lock w:val="sdtLocked"/>
        <w:placeholder>
          <w:docPart w:val="GBC22222222222222222222222222222"/>
        </w:placeholder>
      </w:sdtPr>
      <w:sdtEndPr>
        <w:rPr>
          <w:rFonts w:hint="eastAsia" w:cs="宋体" w:asciiTheme="minorHAnsi" w:hAnsiTheme="minorHAnsi" w:eastAsiaTheme="minorEastAsia"/>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其他综合收益</w:t>
          </w:r>
        </w:p>
        <w:sdt>
          <w:sdtPr>
            <w:alias w:val="是否适用：其他综合收益[双击切换]"/>
            <w:tag w:val="_GBC_bef6c47936994e5e94c77d5dd812be30"/>
            <w:id w:val="2515559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9"/>
        <w:numPr>
          <w:ilvl w:val="0"/>
          <w:numId w:val="46"/>
        </w:numPr>
        <w:tabs>
          <w:tab w:val="left" w:pos="504"/>
        </w:tabs>
        <w:rPr>
          <w:rFonts w:ascii="宋体" w:hAnsi="宋体"/>
          <w:szCs w:val="21"/>
        </w:rPr>
      </w:pPr>
      <w:r>
        <w:rPr>
          <w:rFonts w:hint="eastAsia" w:ascii="宋体" w:hAnsi="宋体"/>
          <w:szCs w:val="21"/>
        </w:rPr>
        <w:t>现金流量表项目</w:t>
      </w:r>
    </w:p>
    <w:sdt>
      <w:sdtPr>
        <w:rPr>
          <w:rFonts w:hint="eastAsia" w:ascii="Calibri" w:hAnsi="Calibri" w:cs="宋体" w:eastAsiaTheme="minorEastAsia"/>
          <w:b w:val="0"/>
          <w:bCs w:val="0"/>
          <w:kern w:val="0"/>
          <w:sz w:val="24"/>
          <w:szCs w:val="21"/>
        </w:rPr>
        <w:alias w:val="模块:收到的其他与经营活动有关的现金"/>
        <w:tag w:val="_GBC_aebbed0d25f14d50b64339a751dec4bd"/>
        <w:id w:val="25155613"/>
        <w:lock w:val="sdtLocked"/>
        <w:placeholder>
          <w:docPart w:val="GBC22222222222222222222222222222"/>
        </w:placeholder>
      </w:sdtPr>
      <w:sdtEndPr>
        <w:rPr>
          <w:rFonts w:hint="default" w:asciiTheme="minorHAnsi" w:hAnsiTheme="minorHAnsi" w:eastAsiaTheme="minorEastAsia" w:cstheme="minorBidi"/>
          <w:b w:val="0"/>
          <w:bCs w:val="0"/>
          <w:kern w:val="2"/>
          <w:sz w:val="21"/>
          <w:szCs w:val="21"/>
        </w:rPr>
      </w:sdtEndPr>
      <w:sdtContent>
        <w:p>
          <w:pPr>
            <w:pStyle w:val="80"/>
            <w:numPr>
              <w:ilvl w:val="0"/>
              <w:numId w:val="73"/>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2515560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251556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251556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77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37a08d49f8e14506929ae8c9544c259e"/>
                <w:id w:val="25155603"/>
                <w:lock w:val="sdtLocked"/>
              </w:sdtPr>
              <w:sdtContent>
                <w:tc>
                  <w:tcPr>
                    <w:tcW w:w="3347" w:type="dxa"/>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25155604"/>
                <w:lock w:val="sdtLocked"/>
              </w:sdtPr>
              <w:sdtContent>
                <w:tc>
                  <w:tcPr>
                    <w:tcW w:w="2778" w:type="dxa"/>
                  </w:tcPr>
                  <w:p>
                    <w:pPr>
                      <w:pStyle w:val="76"/>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25155605"/>
                <w:lock w:val="sdtLocked"/>
              </w:sdtPr>
              <w:sdtContent>
                <w:tc>
                  <w:tcPr>
                    <w:tcW w:w="2768" w:type="dxa"/>
                  </w:tcPr>
                  <w:p>
                    <w:pPr>
                      <w:pStyle w:val="76"/>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2515560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t>利息收入</w:t>
                    </w:r>
                  </w:p>
                </w:tc>
                <w:tc>
                  <w:tcPr>
                    <w:tcW w:w="2778" w:type="dxa"/>
                    <w:vAlign w:val="bottom"/>
                  </w:tcPr>
                  <w:p>
                    <w:pPr>
                      <w:pStyle w:val="76"/>
                      <w:jc w:val="right"/>
                      <w:rPr>
                        <w:szCs w:val="21"/>
                      </w:rPr>
                    </w:pPr>
                    <w:r>
                      <w:rPr>
                        <w:szCs w:val="21"/>
                      </w:rPr>
                      <w:t>22,606,474.08</w:t>
                    </w:r>
                  </w:p>
                </w:tc>
                <w:tc>
                  <w:tcPr>
                    <w:tcW w:w="2768" w:type="dxa"/>
                  </w:tcPr>
                  <w:p>
                    <w:pPr>
                      <w:pStyle w:val="76"/>
                      <w:jc w:val="right"/>
                      <w:rPr>
                        <w:szCs w:val="21"/>
                      </w:rPr>
                    </w:pPr>
                    <w:r>
                      <w:t>15,525,704.75</w:t>
                    </w:r>
                  </w:p>
                </w:tc>
              </w:tr>
            </w:sdtContent>
          </w:sdt>
          <w:sdt>
            <w:sdtPr>
              <w:rPr>
                <w:rFonts w:hint="eastAsia"/>
                <w:szCs w:val="21"/>
              </w:rPr>
              <w:alias w:val="收到的其他与经营活动有关的现金明细"/>
              <w:tag w:val="_GBC_339bc885f058400ca0c6b375c3f5b0d5"/>
              <w:id w:val="2515560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t>违约收入</w:t>
                    </w:r>
                  </w:p>
                </w:tc>
                <w:tc>
                  <w:tcPr>
                    <w:tcW w:w="2778" w:type="dxa"/>
                    <w:vAlign w:val="bottom"/>
                  </w:tcPr>
                  <w:p>
                    <w:pPr>
                      <w:pStyle w:val="76"/>
                      <w:jc w:val="right"/>
                      <w:rPr>
                        <w:szCs w:val="21"/>
                      </w:rPr>
                    </w:pPr>
                    <w:r>
                      <w:rPr>
                        <w:szCs w:val="21"/>
                      </w:rPr>
                      <w:t>1,340,763.90</w:t>
                    </w:r>
                  </w:p>
                </w:tc>
                <w:tc>
                  <w:tcPr>
                    <w:tcW w:w="2768" w:type="dxa"/>
                  </w:tcPr>
                  <w:p>
                    <w:pPr>
                      <w:pStyle w:val="76"/>
                      <w:jc w:val="right"/>
                      <w:rPr>
                        <w:szCs w:val="21"/>
                      </w:rPr>
                    </w:pPr>
                    <w:r>
                      <w:t>1,910,101.80</w:t>
                    </w:r>
                  </w:p>
                </w:tc>
              </w:tr>
            </w:sdtContent>
          </w:sdt>
          <w:sdt>
            <w:sdtPr>
              <w:rPr>
                <w:rFonts w:hint="eastAsia"/>
                <w:szCs w:val="21"/>
              </w:rPr>
              <w:alias w:val="收到的其他与经营活动有关的现金明细"/>
              <w:tag w:val="_GBC_339bc885f058400ca0c6b375c3f5b0d5"/>
              <w:id w:val="25155608"/>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t>收回银行承兑汇票保证金</w:t>
                    </w:r>
                  </w:p>
                </w:tc>
                <w:tc>
                  <w:tcPr>
                    <w:tcW w:w="2778" w:type="dxa"/>
                    <w:vAlign w:val="bottom"/>
                  </w:tcPr>
                  <w:p>
                    <w:pPr>
                      <w:pStyle w:val="76"/>
                      <w:jc w:val="right"/>
                      <w:rPr>
                        <w:szCs w:val="21"/>
                      </w:rPr>
                    </w:pPr>
                    <w:r>
                      <w:rPr>
                        <w:szCs w:val="21"/>
                      </w:rPr>
                      <w:t>228,301,086.80</w:t>
                    </w:r>
                  </w:p>
                </w:tc>
                <w:tc>
                  <w:tcPr>
                    <w:tcW w:w="2768" w:type="dxa"/>
                  </w:tcPr>
                  <w:p>
                    <w:pPr>
                      <w:pStyle w:val="76"/>
                      <w:jc w:val="right"/>
                      <w:rPr>
                        <w:szCs w:val="21"/>
                      </w:rPr>
                    </w:pPr>
                    <w:r>
                      <w:t>104,428,986.06</w:t>
                    </w:r>
                  </w:p>
                </w:tc>
              </w:tr>
            </w:sdtContent>
          </w:sdt>
          <w:sdt>
            <w:sdtPr>
              <w:rPr>
                <w:rFonts w:hint="eastAsia"/>
                <w:szCs w:val="21"/>
              </w:rPr>
              <w:alias w:val="收到的其他与经营活动有关的现金明细"/>
              <w:tag w:val="_GBC_339bc885f058400ca0c6b375c3f5b0d5"/>
              <w:id w:val="2515560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t>其他收入</w:t>
                    </w:r>
                  </w:p>
                </w:tc>
                <w:tc>
                  <w:tcPr>
                    <w:tcW w:w="2778" w:type="dxa"/>
                    <w:vAlign w:val="bottom"/>
                  </w:tcPr>
                  <w:p>
                    <w:pPr>
                      <w:pStyle w:val="76"/>
                      <w:jc w:val="right"/>
                      <w:rPr>
                        <w:szCs w:val="21"/>
                      </w:rPr>
                    </w:pPr>
                    <w:r>
                      <w:rPr>
                        <w:szCs w:val="21"/>
                      </w:rPr>
                      <w:t>1,247,905.17</w:t>
                    </w:r>
                  </w:p>
                </w:tc>
                <w:tc>
                  <w:tcPr>
                    <w:tcW w:w="2768" w:type="dxa"/>
                  </w:tcPr>
                  <w:p>
                    <w:pPr>
                      <w:pStyle w:val="76"/>
                      <w:jc w:val="right"/>
                      <w:rPr>
                        <w:szCs w:val="21"/>
                      </w:rPr>
                    </w:pPr>
                    <w:r>
                      <w:t>1,619,435.15</w:t>
                    </w:r>
                  </w:p>
                </w:tc>
              </w:tr>
            </w:sdtContent>
          </w:sdt>
          <w:sdt>
            <w:sdtPr>
              <w:rPr>
                <w:rFonts w:hint="eastAsia"/>
                <w:szCs w:val="21"/>
              </w:rPr>
              <w:alias w:val="收到的其他与经营活动有关的现金明细"/>
              <w:tag w:val="_GBC_339bc885f058400ca0c6b375c3f5b0d5"/>
              <w:id w:val="2515561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rPr>
                        <w:rFonts w:hint="eastAsia"/>
                        <w:szCs w:val="21"/>
                      </w:rPr>
                      <w:t>其他往来款项</w:t>
                    </w:r>
                  </w:p>
                </w:tc>
                <w:tc>
                  <w:tcPr>
                    <w:tcW w:w="2778" w:type="dxa"/>
                    <w:vAlign w:val="bottom"/>
                  </w:tcPr>
                  <w:p>
                    <w:pPr>
                      <w:pStyle w:val="76"/>
                      <w:jc w:val="right"/>
                      <w:rPr>
                        <w:szCs w:val="21"/>
                      </w:rPr>
                    </w:pPr>
                  </w:p>
                </w:tc>
                <w:tc>
                  <w:tcPr>
                    <w:tcW w:w="2768" w:type="dxa"/>
                  </w:tcPr>
                  <w:p>
                    <w:pPr>
                      <w:pStyle w:val="76"/>
                      <w:jc w:val="right"/>
                      <w:rPr>
                        <w:szCs w:val="21"/>
                      </w:rPr>
                    </w:pPr>
                    <w:r>
                      <w:t>12,540,295.33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68684c586fce4c6e95f718cded68b47c"/>
                <w:id w:val="25155611"/>
                <w:lock w:val="sdtLocked"/>
              </w:sdtPr>
              <w:sdtContent>
                <w:tc>
                  <w:tcPr>
                    <w:tcW w:w="3347" w:type="dxa"/>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2778" w:type="dxa"/>
                <w:vAlign w:val="bottom"/>
              </w:tcPr>
              <w:p>
                <w:pPr>
                  <w:pStyle w:val="76"/>
                  <w:jc w:val="right"/>
                  <w:rPr>
                    <w:szCs w:val="21"/>
                  </w:rPr>
                </w:pPr>
                <w:r>
                  <w:rPr>
                    <w:szCs w:val="21"/>
                  </w:rPr>
                  <w:t>253,496,229.95</w:t>
                </w:r>
              </w:p>
            </w:tc>
            <w:tc>
              <w:tcPr>
                <w:tcW w:w="2768" w:type="dxa"/>
              </w:tcPr>
              <w:p>
                <w:pPr>
                  <w:pStyle w:val="76"/>
                  <w:jc w:val="right"/>
                  <w:rPr>
                    <w:szCs w:val="21"/>
                  </w:rPr>
                </w:pPr>
                <w:r>
                  <w:t>136,024,523.09</w:t>
                </w:r>
              </w:p>
            </w:tc>
          </w:tr>
        </w:tbl>
        <w:p>
          <w:pPr>
            <w:pStyle w:val="76"/>
          </w:pPr>
        </w:p>
        <w:p>
          <w:pPr>
            <w:pStyle w:val="76"/>
            <w:rPr>
              <w:szCs w:val="21"/>
            </w:rPr>
          </w:pPr>
        </w:p>
      </w:sdtContent>
    </w:sdt>
    <w:p>
      <w:pPr>
        <w:pStyle w:val="76"/>
        <w:rPr>
          <w:szCs w:val="21"/>
        </w:rPr>
      </w:pPr>
    </w:p>
    <w:sdt>
      <w:sdtPr>
        <w:rPr>
          <w:rFonts w:hint="eastAsia" w:ascii="宋体" w:hAnsi="宋体" w:cs="宋体" w:eastAsiaTheme="minorEastAsia"/>
          <w:b w:val="0"/>
          <w:bCs w:val="0"/>
          <w:kern w:val="0"/>
          <w:sz w:val="24"/>
          <w:szCs w:val="21"/>
        </w:rPr>
        <w:alias w:val="模块:支付的其他与经营活动有关的现金"/>
        <w:tag w:val="_GBC_3c8453861c4b4e94956633ec6c228388"/>
        <w:id w:val="25155627"/>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1"/>
        </w:rPr>
      </w:sdtEndPr>
      <w:sdtContent>
        <w:p>
          <w:pPr>
            <w:pStyle w:val="80"/>
            <w:numPr>
              <w:ilvl w:val="0"/>
              <w:numId w:val="73"/>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2515561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25155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5155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75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64da6d2b96e42688b06fe557d996ac2"/>
                <w:id w:val="25155617"/>
                <w:lock w:val="sdtLocked"/>
              </w:sdtPr>
              <w:sdtContent>
                <w:tc>
                  <w:tcPr>
                    <w:tcW w:w="3347" w:type="dxa"/>
                  </w:tcPr>
                  <w:p>
                    <w:pPr>
                      <w:pStyle w:val="76"/>
                      <w:autoSpaceDE w:val="0"/>
                      <w:autoSpaceDN w:val="0"/>
                      <w:adjustRightInd w:val="0"/>
                      <w:snapToGrid w:val="0"/>
                      <w:jc w:val="center"/>
                      <w:rPr>
                        <w:szCs w:val="21"/>
                      </w:rPr>
                    </w:pPr>
                    <w:r>
                      <w:rPr>
                        <w:rFonts w:hint="eastAsia"/>
                        <w:szCs w:val="21"/>
                      </w:rPr>
                      <w:t>项目</w:t>
                    </w:r>
                  </w:p>
                </w:tc>
              </w:sdtContent>
            </w:sdt>
            <w:sdt>
              <w:sdtPr>
                <w:tag w:val="_PLD_69d21b5f023448adbd8c69a7e96e585d"/>
                <w:id w:val="25155618"/>
                <w:lock w:val="sdtLocked"/>
              </w:sdtPr>
              <w:sdtContent>
                <w:tc>
                  <w:tcPr>
                    <w:tcW w:w="2759" w:type="dxa"/>
                  </w:tcPr>
                  <w:p>
                    <w:pPr>
                      <w:pStyle w:val="76"/>
                      <w:autoSpaceDE w:val="0"/>
                      <w:autoSpaceDN w:val="0"/>
                      <w:adjustRightInd w:val="0"/>
                      <w:snapToGrid w:val="0"/>
                      <w:jc w:val="center"/>
                      <w:rPr>
                        <w:szCs w:val="21"/>
                      </w:rPr>
                    </w:pPr>
                    <w:r>
                      <w:rPr>
                        <w:rFonts w:hint="eastAsia"/>
                      </w:rPr>
                      <w:t>本期发生额</w:t>
                    </w:r>
                  </w:p>
                </w:tc>
              </w:sdtContent>
            </w:sdt>
            <w:sdt>
              <w:sdtPr>
                <w:tag w:val="_PLD_fccf4811cdbb443297a0ce875715525f"/>
                <w:id w:val="25155619"/>
                <w:lock w:val="sdtLocked"/>
              </w:sdtPr>
              <w:sdtContent>
                <w:tc>
                  <w:tcPr>
                    <w:tcW w:w="2787" w:type="dxa"/>
                  </w:tcPr>
                  <w:p>
                    <w:pPr>
                      <w:pStyle w:val="76"/>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2515562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rPr>
                        <w:szCs w:val="21"/>
                      </w:rPr>
                    </w:pPr>
                    <w:r>
                      <w:t>销售费用</w:t>
                    </w:r>
                  </w:p>
                </w:tc>
                <w:tc>
                  <w:tcPr>
                    <w:tcW w:w="2759" w:type="dxa"/>
                  </w:tcPr>
                  <w:p>
                    <w:pPr>
                      <w:pStyle w:val="76"/>
                      <w:jc w:val="right"/>
                      <w:rPr>
                        <w:szCs w:val="21"/>
                      </w:rPr>
                    </w:pPr>
                    <w:r>
                      <w:rPr>
                        <w:szCs w:val="21"/>
                      </w:rPr>
                      <w:t>4,385,209.02</w:t>
                    </w:r>
                  </w:p>
                </w:tc>
                <w:tc>
                  <w:tcPr>
                    <w:tcW w:w="2787" w:type="dxa"/>
                  </w:tcPr>
                  <w:p>
                    <w:pPr>
                      <w:pStyle w:val="76"/>
                      <w:jc w:val="right"/>
                      <w:rPr>
                        <w:szCs w:val="21"/>
                      </w:rPr>
                    </w:pPr>
                    <w:r>
                      <w:t>4,778,673.44</w:t>
                    </w:r>
                  </w:p>
                </w:tc>
              </w:tr>
            </w:sdtContent>
          </w:sdt>
          <w:sdt>
            <w:sdtPr>
              <w:rPr>
                <w:rFonts w:hint="eastAsia"/>
                <w:szCs w:val="21"/>
              </w:rPr>
              <w:alias w:val="支付的其他与经营活动有关的现金明细"/>
              <w:tag w:val="_GBC_9880266c0e6f4e6b92c7692ef64ec140"/>
              <w:id w:val="25155621"/>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rPr>
                        <w:szCs w:val="21"/>
                      </w:rPr>
                    </w:pPr>
                    <w:r>
                      <w:t>管理费用</w:t>
                    </w:r>
                  </w:p>
                </w:tc>
                <w:tc>
                  <w:tcPr>
                    <w:tcW w:w="2759" w:type="dxa"/>
                  </w:tcPr>
                  <w:p>
                    <w:pPr>
                      <w:pStyle w:val="76"/>
                      <w:jc w:val="right"/>
                      <w:rPr>
                        <w:szCs w:val="21"/>
                      </w:rPr>
                    </w:pPr>
                    <w:r>
                      <w:rPr>
                        <w:szCs w:val="21"/>
                      </w:rPr>
                      <w:t>33,118,645.14</w:t>
                    </w:r>
                  </w:p>
                </w:tc>
                <w:tc>
                  <w:tcPr>
                    <w:tcW w:w="2787" w:type="dxa"/>
                  </w:tcPr>
                  <w:p>
                    <w:pPr>
                      <w:pStyle w:val="76"/>
                      <w:jc w:val="right"/>
                      <w:rPr>
                        <w:szCs w:val="21"/>
                      </w:rPr>
                    </w:pPr>
                    <w:r>
                      <w:t>26,122,757.12</w:t>
                    </w:r>
                  </w:p>
                </w:tc>
              </w:tr>
            </w:sdtContent>
          </w:sdt>
          <w:sdt>
            <w:sdtPr>
              <w:rPr>
                <w:rFonts w:hint="eastAsia"/>
                <w:szCs w:val="21"/>
              </w:rPr>
              <w:alias w:val="支付的其他与经营活动有关的现金明细"/>
              <w:tag w:val="_GBC_9880266c0e6f4e6b92c7692ef64ec140"/>
              <w:id w:val="25155622"/>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rPr>
                        <w:szCs w:val="21"/>
                      </w:rPr>
                    </w:pPr>
                    <w:r>
                      <w:t>银行承兑汇票保证金</w:t>
                    </w:r>
                  </w:p>
                </w:tc>
                <w:tc>
                  <w:tcPr>
                    <w:tcW w:w="2759" w:type="dxa"/>
                  </w:tcPr>
                  <w:p>
                    <w:pPr>
                      <w:pStyle w:val="76"/>
                      <w:jc w:val="right"/>
                      <w:rPr>
                        <w:szCs w:val="21"/>
                      </w:rPr>
                    </w:pPr>
                    <w:r>
                      <w:rPr>
                        <w:szCs w:val="21"/>
                      </w:rPr>
                      <w:t>72,750,000.00</w:t>
                    </w:r>
                  </w:p>
                </w:tc>
                <w:tc>
                  <w:tcPr>
                    <w:tcW w:w="2787" w:type="dxa"/>
                  </w:tcPr>
                  <w:p>
                    <w:pPr>
                      <w:pStyle w:val="76"/>
                      <w:jc w:val="right"/>
                      <w:rPr>
                        <w:szCs w:val="21"/>
                      </w:rPr>
                    </w:pPr>
                    <w:r>
                      <w:t>11,400,000.00</w:t>
                    </w:r>
                  </w:p>
                </w:tc>
              </w:tr>
            </w:sdtContent>
          </w:sdt>
          <w:sdt>
            <w:sdtPr>
              <w:rPr>
                <w:rFonts w:hint="eastAsia"/>
                <w:szCs w:val="21"/>
              </w:rPr>
              <w:alias w:val="支付的其他与经营活动有关的现金明细"/>
              <w:tag w:val="_GBC_9880266c0e6f4e6b92c7692ef64ec140"/>
              <w:id w:val="25155623"/>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rPr>
                        <w:szCs w:val="21"/>
                      </w:rPr>
                    </w:pPr>
                    <w:r>
                      <w:t>信用证保证金</w:t>
                    </w:r>
                  </w:p>
                </w:tc>
                <w:tc>
                  <w:tcPr>
                    <w:tcW w:w="2759" w:type="dxa"/>
                  </w:tcPr>
                  <w:p>
                    <w:pPr>
                      <w:pStyle w:val="76"/>
                      <w:jc w:val="right"/>
                      <w:rPr>
                        <w:szCs w:val="21"/>
                      </w:rPr>
                    </w:pPr>
                  </w:p>
                </w:tc>
                <w:tc>
                  <w:tcPr>
                    <w:tcW w:w="2787" w:type="dxa"/>
                  </w:tcPr>
                  <w:p>
                    <w:pPr>
                      <w:pStyle w:val="76"/>
                      <w:jc w:val="right"/>
                      <w:rPr>
                        <w:szCs w:val="21"/>
                      </w:rPr>
                    </w:pPr>
                    <w:r>
                      <w:t>194,960,000.00</w:t>
                    </w:r>
                  </w:p>
                </w:tc>
              </w:tr>
            </w:sdtContent>
          </w:sdt>
          <w:sdt>
            <w:sdtPr>
              <w:rPr>
                <w:rFonts w:hint="eastAsia"/>
                <w:szCs w:val="21"/>
              </w:rPr>
              <w:alias w:val="支付的其他与经营活动有关的现金明细"/>
              <w:tag w:val="_GBC_9880266c0e6f4e6b92c7692ef64ec140"/>
              <w:id w:val="2515562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rPr>
                        <w:szCs w:val="21"/>
                      </w:rPr>
                    </w:pPr>
                    <w:r>
                      <w:t>其他</w:t>
                    </w:r>
                  </w:p>
                </w:tc>
                <w:tc>
                  <w:tcPr>
                    <w:tcW w:w="2759" w:type="dxa"/>
                  </w:tcPr>
                  <w:p>
                    <w:pPr>
                      <w:pStyle w:val="76"/>
                      <w:jc w:val="right"/>
                      <w:rPr>
                        <w:szCs w:val="21"/>
                      </w:rPr>
                    </w:pPr>
                    <w:r>
                      <w:rPr>
                        <w:szCs w:val="21"/>
                      </w:rPr>
                      <w:t>20,071,711.45</w:t>
                    </w:r>
                  </w:p>
                </w:tc>
                <w:tc>
                  <w:tcPr>
                    <w:tcW w:w="2787" w:type="dxa"/>
                  </w:tcPr>
                  <w:p>
                    <w:pPr>
                      <w:pStyle w:val="76"/>
                      <w:jc w:val="right"/>
                      <w:rPr>
                        <w:szCs w:val="21"/>
                      </w:rPr>
                    </w:pPr>
                    <w:r>
                      <w:t>12,062,824.07</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4b68c0729f8e49a4ac82fb1d64daa6dc"/>
                <w:id w:val="25155625"/>
                <w:lock w:val="sdtLocked"/>
              </w:sdtPr>
              <w:sdtContent>
                <w:tc>
                  <w:tcPr>
                    <w:tcW w:w="3347" w:type="dxa"/>
                  </w:tcPr>
                  <w:p>
                    <w:pPr>
                      <w:pStyle w:val="76"/>
                      <w:autoSpaceDE w:val="0"/>
                      <w:autoSpaceDN w:val="0"/>
                      <w:adjustRightInd w:val="0"/>
                      <w:snapToGrid w:val="0"/>
                      <w:jc w:val="center"/>
                      <w:rPr>
                        <w:szCs w:val="21"/>
                      </w:rPr>
                    </w:pPr>
                    <w:r>
                      <w:rPr>
                        <w:rFonts w:hint="eastAsia"/>
                        <w:szCs w:val="21"/>
                      </w:rPr>
                      <w:t>合计</w:t>
                    </w:r>
                  </w:p>
                </w:tc>
              </w:sdtContent>
            </w:sdt>
            <w:tc>
              <w:tcPr>
                <w:tcW w:w="2759" w:type="dxa"/>
              </w:tcPr>
              <w:p>
                <w:pPr>
                  <w:pStyle w:val="76"/>
                  <w:jc w:val="right"/>
                  <w:rPr>
                    <w:szCs w:val="21"/>
                  </w:rPr>
                </w:pPr>
                <w:r>
                  <w:rPr>
                    <w:szCs w:val="21"/>
                  </w:rPr>
                  <w:t>130,325,565.61</w:t>
                </w:r>
              </w:p>
            </w:tc>
            <w:tc>
              <w:tcPr>
                <w:tcW w:w="2787" w:type="dxa"/>
              </w:tcPr>
              <w:p>
                <w:pPr>
                  <w:pStyle w:val="76"/>
                  <w:jc w:val="right"/>
                  <w:rPr>
                    <w:szCs w:val="21"/>
                  </w:rPr>
                </w:pPr>
                <w:r>
                  <w:t>249,324,254.63</w:t>
                </w:r>
              </w:p>
            </w:tc>
          </w:tr>
        </w:tbl>
        <w:p>
          <w:pPr>
            <w:pStyle w:val="76"/>
          </w:pPr>
        </w:p>
        <w:p>
          <w:pPr>
            <w:pStyle w:val="76"/>
            <w:ind w:right="5"/>
            <w:rPr>
              <w:szCs w:val="21"/>
            </w:rPr>
          </w:pPr>
        </w:p>
      </w:sdtContent>
    </w:sdt>
    <w:p>
      <w:pPr>
        <w:pStyle w:val="76"/>
        <w:spacing w:line="360" w:lineRule="exact"/>
        <w:ind w:right="5"/>
        <w:rPr>
          <w:szCs w:val="21"/>
        </w:rPr>
      </w:pPr>
    </w:p>
    <w:sdt>
      <w:sdtPr>
        <w:rPr>
          <w:rFonts w:hint="eastAsia" w:ascii="宋体" w:hAnsi="宋体" w:cs="宋体" w:eastAsiaTheme="minorEastAsia"/>
          <w:b w:val="0"/>
          <w:bCs w:val="0"/>
          <w:kern w:val="0"/>
          <w:sz w:val="24"/>
          <w:szCs w:val="21"/>
        </w:rPr>
        <w:alias w:val="模块:收到的其他与投资活动有关的现金"/>
        <w:tag w:val="_GBC_7d29c8348da547cab82786074f1b3249"/>
        <w:id w:val="25155637"/>
        <w:lock w:val="sdtLocked"/>
        <w:placeholder>
          <w:docPart w:val="GBC22222222222222222222222222222"/>
        </w:placeholder>
      </w:sdtPr>
      <w:sdtEndPr>
        <w:rPr>
          <w:rFonts w:hint="default" w:asciiTheme="minorHAnsi" w:hAnsiTheme="minorHAnsi" w:eastAsiaTheme="minorEastAsia" w:cstheme="minorBidi"/>
          <w:b w:val="0"/>
          <w:bCs w:val="0"/>
          <w:kern w:val="2"/>
          <w:sz w:val="21"/>
          <w:szCs w:val="21"/>
        </w:rPr>
      </w:sdtEndPr>
      <w:sdtContent>
        <w:p>
          <w:pPr>
            <w:pStyle w:val="80"/>
            <w:numPr>
              <w:ilvl w:val="0"/>
              <w:numId w:val="73"/>
            </w:numPr>
            <w:tabs>
              <w:tab w:val="left" w:pos="728"/>
            </w:tabs>
            <w:rPr>
              <w:rFonts w:ascii="宋体" w:hAnsi="宋体"/>
              <w:szCs w:val="21"/>
            </w:rPr>
          </w:pPr>
          <w:r>
            <w:rPr>
              <w:rFonts w:hint="eastAsia" w:ascii="宋体" w:hAnsi="宋体"/>
              <w:szCs w:val="21"/>
            </w:rPr>
            <w:t>收到的其他与投资活动有关的现金</w:t>
          </w:r>
        </w:p>
        <w:sdt>
          <w:sdtPr>
            <w:alias w:val="是否适用：收到的其他与投资活动有关的现金[双击切换]"/>
            <w:tag w:val="_GBC_ae3b1cf9e3aa408a8867e76d71769712"/>
            <w:id w:val="2515562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251556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25155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2"/>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fe329b3300fe449c869fda5c957ed9e6"/>
                <w:id w:val="25155631"/>
                <w:lock w:val="sdtLocked"/>
              </w:sdtPr>
              <w:sdtContent>
                <w:tc>
                  <w:tcPr>
                    <w:tcW w:w="3347" w:type="dxa"/>
                  </w:tcPr>
                  <w:p>
                    <w:pPr>
                      <w:pStyle w:val="76"/>
                      <w:autoSpaceDE w:val="0"/>
                      <w:autoSpaceDN w:val="0"/>
                      <w:adjustRightInd w:val="0"/>
                      <w:snapToGrid w:val="0"/>
                      <w:spacing w:line="240" w:lineRule="atLeast"/>
                      <w:jc w:val="center"/>
                      <w:rPr>
                        <w:szCs w:val="21"/>
                      </w:rPr>
                    </w:pPr>
                    <w:r>
                      <w:rPr>
                        <w:rFonts w:hint="eastAsia"/>
                        <w:szCs w:val="21"/>
                      </w:rPr>
                      <w:t>项目</w:t>
                    </w:r>
                  </w:p>
                </w:tc>
              </w:sdtContent>
            </w:sdt>
            <w:sdt>
              <w:sdtPr>
                <w:tag w:val="_PLD_e828a524680d4faeb14e148b152d9982"/>
                <w:id w:val="25155632"/>
                <w:lock w:val="sdtLocked"/>
              </w:sdtPr>
              <w:sdtContent>
                <w:tc>
                  <w:tcPr>
                    <w:tcW w:w="2862" w:type="dxa"/>
                  </w:tcPr>
                  <w:p>
                    <w:pPr>
                      <w:pStyle w:val="76"/>
                      <w:autoSpaceDE w:val="0"/>
                      <w:autoSpaceDN w:val="0"/>
                      <w:adjustRightInd w:val="0"/>
                      <w:snapToGrid w:val="0"/>
                      <w:spacing w:line="240" w:lineRule="atLeast"/>
                      <w:jc w:val="center"/>
                      <w:rPr>
                        <w:szCs w:val="21"/>
                      </w:rPr>
                    </w:pPr>
                    <w:r>
                      <w:rPr>
                        <w:rFonts w:hint="eastAsia"/>
                      </w:rPr>
                      <w:t>本期发生额</w:t>
                    </w:r>
                  </w:p>
                </w:tc>
              </w:sdtContent>
            </w:sdt>
            <w:sdt>
              <w:sdtPr>
                <w:tag w:val="_PLD_a8eb20dbb1b143d399d3bde1f6e00fa3"/>
                <w:id w:val="25155633"/>
                <w:lock w:val="sdtLocked"/>
              </w:sdtPr>
              <w:sdtContent>
                <w:tc>
                  <w:tcPr>
                    <w:tcW w:w="2684" w:type="dxa"/>
                  </w:tcPr>
                  <w:p>
                    <w:pPr>
                      <w:pStyle w:val="76"/>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GBC_e6aac5cfd8c841e780dd4702b059b16c"/>
              <w:id w:val="2515563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spacing w:line="240" w:lineRule="atLeast"/>
                      <w:rPr>
                        <w:szCs w:val="21"/>
                      </w:rPr>
                    </w:pPr>
                    <w:r>
                      <w:rPr>
                        <w:rFonts w:hint="eastAsia"/>
                        <w:szCs w:val="21"/>
                      </w:rPr>
                      <w:t>其他</w:t>
                    </w:r>
                  </w:p>
                </w:tc>
                <w:tc>
                  <w:tcPr>
                    <w:tcW w:w="2862" w:type="dxa"/>
                    <w:vAlign w:val="bottom"/>
                  </w:tcPr>
                  <w:p>
                    <w:pPr>
                      <w:pStyle w:val="76"/>
                      <w:jc w:val="right"/>
                      <w:rPr>
                        <w:szCs w:val="21"/>
                      </w:rPr>
                    </w:pPr>
                    <w:r>
                      <w:rPr>
                        <w:szCs w:val="21"/>
                      </w:rPr>
                      <w:t>4,000</w:t>
                    </w:r>
                  </w:p>
                </w:tc>
                <w:tc>
                  <w:tcPr>
                    <w:tcW w:w="2684" w:type="dxa"/>
                  </w:tcPr>
                  <w:p>
                    <w:pPr>
                      <w:pStyle w:val="76"/>
                      <w:jc w:val="right"/>
                      <w:rPr>
                        <w:szCs w:val="2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a5b8e3355174a5f94c83cb81ed0821b"/>
                <w:id w:val="25155635"/>
                <w:lock w:val="sdtLocked"/>
              </w:sdtPr>
              <w:sdtContent>
                <w:tc>
                  <w:tcPr>
                    <w:tcW w:w="3347" w:type="dxa"/>
                  </w:tcPr>
                  <w:p>
                    <w:pPr>
                      <w:pStyle w:val="76"/>
                      <w:autoSpaceDE w:val="0"/>
                      <w:autoSpaceDN w:val="0"/>
                      <w:adjustRightInd w:val="0"/>
                      <w:snapToGrid w:val="0"/>
                      <w:spacing w:line="240" w:lineRule="atLeast"/>
                      <w:jc w:val="center"/>
                      <w:rPr>
                        <w:szCs w:val="21"/>
                      </w:rPr>
                    </w:pPr>
                    <w:r>
                      <w:rPr>
                        <w:rFonts w:hint="eastAsia"/>
                        <w:szCs w:val="21"/>
                      </w:rPr>
                      <w:t>合计</w:t>
                    </w:r>
                  </w:p>
                </w:tc>
              </w:sdtContent>
            </w:sdt>
            <w:tc>
              <w:tcPr>
                <w:tcW w:w="2862" w:type="dxa"/>
                <w:vAlign w:val="bottom"/>
              </w:tcPr>
              <w:p>
                <w:pPr>
                  <w:pStyle w:val="76"/>
                  <w:jc w:val="right"/>
                  <w:rPr>
                    <w:szCs w:val="21"/>
                  </w:rPr>
                </w:pPr>
                <w:r>
                  <w:rPr>
                    <w:szCs w:val="21"/>
                  </w:rPr>
                  <w:t>4,000</w:t>
                </w:r>
              </w:p>
            </w:tc>
            <w:tc>
              <w:tcPr>
                <w:tcW w:w="2684" w:type="dxa"/>
              </w:tcPr>
              <w:p>
                <w:pPr>
                  <w:pStyle w:val="76"/>
                  <w:jc w:val="right"/>
                  <w:rPr>
                    <w:szCs w:val="21"/>
                  </w:rPr>
                </w:pPr>
              </w:p>
            </w:tc>
          </w:tr>
        </w:tbl>
        <w:p>
          <w:pPr>
            <w:pStyle w:val="76"/>
            <w:snapToGrid w:val="0"/>
            <w:spacing w:line="240" w:lineRule="atLeast"/>
            <w:rPr>
              <w:szCs w:val="21"/>
            </w:rPr>
          </w:pPr>
        </w:p>
      </w:sdtContent>
    </w:sdt>
    <w:p>
      <w:pPr>
        <w:pStyle w:val="76"/>
        <w:rPr>
          <w:szCs w:val="21"/>
        </w:rPr>
      </w:pPr>
    </w:p>
    <w:sdt>
      <w:sdtPr>
        <w:rPr>
          <w:rFonts w:hint="eastAsia" w:ascii="宋体" w:hAnsi="宋体" w:cs="宋体" w:eastAsiaTheme="minorEastAsia"/>
          <w:b w:val="0"/>
          <w:bCs w:val="0"/>
          <w:kern w:val="0"/>
          <w:sz w:val="24"/>
          <w:szCs w:val="21"/>
        </w:rPr>
        <w:alias w:val="模块:支付的其他与投资活动有关的现金"/>
        <w:tag w:val="_GBC_fa501b3ede254af6bdfad826e328392a"/>
        <w:id w:val="25155639"/>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1"/>
        </w:rPr>
      </w:sdtEndPr>
      <w:sdtContent>
        <w:p>
          <w:pPr>
            <w:pStyle w:val="80"/>
            <w:numPr>
              <w:ilvl w:val="0"/>
              <w:numId w:val="73"/>
            </w:numPr>
            <w:tabs>
              <w:tab w:val="left" w:pos="728"/>
            </w:tabs>
            <w:rPr>
              <w:rFonts w:ascii="宋体" w:hAnsi="宋体"/>
              <w:szCs w:val="21"/>
            </w:rPr>
          </w:pPr>
          <w:r>
            <w:rPr>
              <w:rFonts w:hint="eastAsia" w:ascii="宋体" w:hAnsi="宋体"/>
              <w:szCs w:val="21"/>
            </w:rPr>
            <w:t>支付的其他与投资活动有关的现金</w:t>
          </w:r>
        </w:p>
        <w:sdt>
          <w:sdtPr>
            <w:alias w:val="是否适用：支付的其他与投资活动有关的现金[双击切换]"/>
            <w:tag w:val="_GBC_8862c0a38548482cb3b55a82757e3e33"/>
            <w:id w:val="251556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eastAsiaTheme="minorEastAsia"/>
          <w:b w:val="0"/>
          <w:bCs w:val="0"/>
          <w:kern w:val="0"/>
          <w:sz w:val="24"/>
          <w:szCs w:val="21"/>
        </w:rPr>
        <w:alias w:val="模块:收到的其他与筹资活动有关的现金"/>
        <w:tag w:val="_GBC_6e57c618c25c498db37f205341e0c66a"/>
        <w:id w:val="25155641"/>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80"/>
            <w:numPr>
              <w:ilvl w:val="0"/>
              <w:numId w:val="73"/>
            </w:numPr>
            <w:rPr>
              <w:szCs w:val="21"/>
            </w:rPr>
          </w:pPr>
          <w:r>
            <w:rPr>
              <w:rFonts w:hint="eastAsia"/>
              <w:szCs w:val="21"/>
            </w:rPr>
            <w:t>收到的</w:t>
          </w:r>
          <w:r>
            <w:rPr>
              <w:rFonts w:hint="eastAsia" w:ascii="宋体" w:hAnsi="宋体"/>
              <w:szCs w:val="21"/>
            </w:rPr>
            <w:t>其他</w:t>
          </w:r>
          <w:r>
            <w:rPr>
              <w:rFonts w:hint="eastAsia"/>
              <w:szCs w:val="21"/>
            </w:rPr>
            <w:t>与筹资活动有关的现金</w:t>
          </w:r>
        </w:p>
        <w:sdt>
          <w:sdtPr>
            <w:alias w:val="是否适用：收到的其他与筹资活动有关的现金[双击切换]"/>
            <w:tag w:val="_GBC_6e82da4b55134cf6aacd6132e71f2c27"/>
            <w:id w:val="2515564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宋体" w:hAnsi="宋体" w:cs="宋体" w:eastAsiaTheme="minorEastAsia"/>
          <w:b w:val="0"/>
          <w:bCs w:val="0"/>
          <w:kern w:val="0"/>
          <w:sz w:val="24"/>
          <w:szCs w:val="22"/>
        </w:rPr>
        <w:alias w:val="模块:支付的其他与筹资活动有关的现金"/>
        <w:tag w:val="_GBC_96162aa406234e2485524876a03968e7"/>
        <w:id w:val="25155651"/>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80"/>
            <w:numPr>
              <w:ilvl w:val="0"/>
              <w:numId w:val="73"/>
            </w:numPr>
            <w:rPr>
              <w:rFonts w:ascii="宋体" w:hAnsi="宋体"/>
              <w:szCs w:val="21"/>
            </w:rPr>
          </w:pPr>
          <w:r>
            <w:rPr>
              <w:rFonts w:hint="eastAsia" w:ascii="宋体" w:hAnsi="宋体"/>
              <w:szCs w:val="21"/>
            </w:rPr>
            <w:t>支付的其他与筹资活动有关的现金</w:t>
          </w:r>
        </w:p>
        <w:sdt>
          <w:sdtPr>
            <w:alias w:val="是否适用：支付的其他与筹资活动有关的现金[双击切换]"/>
            <w:tag w:val="_GBC_cf7fd4869f8d4d98a07243e22bf22793"/>
            <w:id w:val="2515564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251556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251556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2b9da6111f3f4cacb3afcfc0de00e1e9"/>
                <w:id w:val="25155645"/>
                <w:lock w:val="sdtLocked"/>
              </w:sdtPr>
              <w:sdtContent>
                <w:tc>
                  <w:tcPr>
                    <w:tcW w:w="3347" w:type="dxa"/>
                  </w:tcPr>
                  <w:p>
                    <w:pPr>
                      <w:pStyle w:val="76"/>
                      <w:autoSpaceDE w:val="0"/>
                      <w:autoSpaceDN w:val="0"/>
                      <w:adjustRightInd w:val="0"/>
                      <w:snapToGrid w:val="0"/>
                      <w:jc w:val="center"/>
                    </w:pPr>
                    <w:r>
                      <w:rPr>
                        <w:rFonts w:hint="eastAsia"/>
                      </w:rPr>
                      <w:t>项目</w:t>
                    </w:r>
                  </w:p>
                </w:tc>
              </w:sdtContent>
            </w:sdt>
            <w:sdt>
              <w:sdtPr>
                <w:tag w:val="_PLD_b6791a7f5c234d80be8964d8fb7b3ce6"/>
                <w:id w:val="25155646"/>
                <w:lock w:val="sdtLocked"/>
              </w:sdtPr>
              <w:sdtContent>
                <w:tc>
                  <w:tcPr>
                    <w:tcW w:w="2864" w:type="dxa"/>
                  </w:tcPr>
                  <w:p>
                    <w:pPr>
                      <w:pStyle w:val="76"/>
                      <w:autoSpaceDE w:val="0"/>
                      <w:autoSpaceDN w:val="0"/>
                      <w:adjustRightInd w:val="0"/>
                      <w:snapToGrid w:val="0"/>
                      <w:jc w:val="center"/>
                    </w:pPr>
                    <w:r>
                      <w:rPr>
                        <w:rFonts w:hint="eastAsia"/>
                      </w:rPr>
                      <w:t>本期发生额</w:t>
                    </w:r>
                  </w:p>
                </w:tc>
              </w:sdtContent>
            </w:sdt>
            <w:sdt>
              <w:sdtPr>
                <w:tag w:val="_PLD_b4a33da4012d47bd8013a6c570bcad87"/>
                <w:id w:val="25155647"/>
                <w:lock w:val="sdtLocked"/>
              </w:sdtPr>
              <w:sdtContent>
                <w:tc>
                  <w:tcPr>
                    <w:tcW w:w="2682" w:type="dxa"/>
                  </w:tcPr>
                  <w:p>
                    <w:pPr>
                      <w:pStyle w:val="76"/>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2515564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pStyle w:val="76"/>
                      <w:autoSpaceDE w:val="0"/>
                      <w:autoSpaceDN w:val="0"/>
                      <w:adjustRightInd w:val="0"/>
                      <w:snapToGrid w:val="0"/>
                    </w:pPr>
                    <w:r>
                      <w:t>手续费</w:t>
                    </w:r>
                  </w:p>
                </w:tc>
                <w:tc>
                  <w:tcPr>
                    <w:tcW w:w="2864" w:type="dxa"/>
                    <w:vAlign w:val="bottom"/>
                  </w:tcPr>
                  <w:p>
                    <w:pPr>
                      <w:pStyle w:val="76"/>
                      <w:jc w:val="right"/>
                    </w:pPr>
                    <w:r>
                      <w:t>4,451,350.82</w:t>
                    </w:r>
                  </w:p>
                </w:tc>
                <w:tc>
                  <w:tcPr>
                    <w:tcW w:w="2682" w:type="dxa"/>
                  </w:tcPr>
                  <w:p>
                    <w:pPr>
                      <w:pStyle w:val="76"/>
                      <w:jc w:val="right"/>
                    </w:pPr>
                    <w:r>
                      <w:rPr>
                        <w:rFonts w:hint="eastAsia"/>
                      </w:rPr>
                      <w:t>4,881,800.13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22dc5e1e835f424c922e14021ea4fcda"/>
                <w:id w:val="25155649"/>
                <w:lock w:val="sdtLocked"/>
              </w:sdtPr>
              <w:sdtContent>
                <w:tc>
                  <w:tcPr>
                    <w:tcW w:w="3347" w:type="dxa"/>
                  </w:tcPr>
                  <w:p>
                    <w:pPr>
                      <w:pStyle w:val="76"/>
                      <w:autoSpaceDE w:val="0"/>
                      <w:autoSpaceDN w:val="0"/>
                      <w:adjustRightInd w:val="0"/>
                      <w:snapToGrid w:val="0"/>
                      <w:jc w:val="center"/>
                    </w:pPr>
                    <w:r>
                      <w:rPr>
                        <w:rFonts w:hint="eastAsia"/>
                      </w:rPr>
                      <w:t>合计</w:t>
                    </w:r>
                  </w:p>
                </w:tc>
              </w:sdtContent>
            </w:sdt>
            <w:tc>
              <w:tcPr>
                <w:tcW w:w="2864" w:type="dxa"/>
                <w:vAlign w:val="bottom"/>
              </w:tcPr>
              <w:p>
                <w:pPr>
                  <w:pStyle w:val="76"/>
                  <w:jc w:val="right"/>
                </w:pPr>
                <w:r>
                  <w:t>4,451,350.82</w:t>
                </w:r>
              </w:p>
            </w:tc>
            <w:tc>
              <w:tcPr>
                <w:tcW w:w="2682" w:type="dxa"/>
              </w:tcPr>
              <w:p>
                <w:pPr>
                  <w:pStyle w:val="76"/>
                  <w:jc w:val="right"/>
                </w:pPr>
                <w:r>
                  <w:rPr>
                    <w:rFonts w:hint="eastAsia"/>
                  </w:rPr>
                  <w:t>4,881,800.13</w:t>
                </w:r>
              </w:p>
            </w:tc>
          </w:tr>
        </w:tbl>
        <w:p>
          <w:pPr>
            <w:pStyle w:val="76"/>
          </w:pPr>
        </w:p>
        <w:p>
          <w:pPr>
            <w:pStyle w:val="76"/>
            <w:ind w:right="5"/>
          </w:pPr>
        </w:p>
      </w:sdtContent>
    </w:sdt>
    <w:p>
      <w:pPr>
        <w:pStyle w:val="79"/>
        <w:numPr>
          <w:ilvl w:val="0"/>
          <w:numId w:val="46"/>
        </w:numPr>
        <w:tabs>
          <w:tab w:val="left" w:pos="504"/>
        </w:tabs>
      </w:pPr>
      <w:r>
        <w:rPr>
          <w:rFonts w:hint="eastAsia"/>
        </w:rPr>
        <w:t>现金流量表</w:t>
      </w:r>
      <w:r>
        <w:rPr>
          <w:rFonts w:hint="eastAsia" w:ascii="宋体" w:hAnsi="宋体"/>
          <w:szCs w:val="21"/>
        </w:rPr>
        <w:t>补充</w:t>
      </w:r>
      <w:r>
        <w:rPr>
          <w:rFonts w:hint="eastAsia"/>
        </w:rPr>
        <w:t>资料</w:t>
      </w:r>
    </w:p>
    <w:sdt>
      <w:sdtPr>
        <w:rPr>
          <w:rFonts w:hint="eastAsia" w:ascii="宋体" w:hAnsi="宋体" w:cs="宋体"/>
          <w:b w:val="0"/>
          <w:bCs w:val="0"/>
          <w:kern w:val="0"/>
          <w:szCs w:val="24"/>
        </w:rPr>
        <w:alias w:val="模块:现金流量表补充资料"/>
        <w:tag w:val="_GBC_7c9a174810ac4558be4e54f8019d5a1a"/>
        <w:id w:val="25155686"/>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74"/>
            </w:numPr>
          </w:pPr>
          <w:r>
            <w:rPr>
              <w:rFonts w:hint="eastAsia"/>
            </w:rPr>
            <w:t>现金流量表补充资料</w:t>
          </w:r>
        </w:p>
        <w:sdt>
          <w:sdtPr>
            <w:alias w:val="是否适用：现金流量表补充资料[双击切换]"/>
            <w:tag w:val="_GBC_3ee8e178479245ea907bff86e4dcd54a"/>
            <w:id w:val="25155652"/>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现金流量表补充资料"/>
              <w:tag w:val="_GBC_ba7cd13a54fa44929e0fd4c276876d0e"/>
              <w:id w:val="251556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51556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4"/>
            <w:gridCol w:w="2099"/>
            <w:gridCol w:w="1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6ea455751354381bc869d5865ef3d8f"/>
                <w:id w:val="25155655"/>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bCs/>
                      </w:rPr>
                    </w:pPr>
                    <w:r>
                      <w:rPr>
                        <w:rFonts w:hint="eastAsia"/>
                        <w:bCs/>
                      </w:rPr>
                      <w:t>补充资料</w:t>
                    </w:r>
                  </w:p>
                </w:tc>
              </w:sdtContent>
            </w:sdt>
            <w:sdt>
              <w:sdtPr>
                <w:tag w:val="_PLD_0687e3743a4e4e2db7b08855f23641e8"/>
                <w:id w:val="25155656"/>
                <w:lock w:val="sdtLocked"/>
              </w:sdtPr>
              <w:sdtContent>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pPr>
                    <w:r>
                      <w:rPr>
                        <w:rFonts w:hint="eastAsia"/>
                      </w:rPr>
                      <w:t>本期金额</w:t>
                    </w:r>
                  </w:p>
                </w:tc>
              </w:sdtContent>
            </w:sdt>
            <w:sdt>
              <w:sdtPr>
                <w:tag w:val="_PLD_f90342638d124edea40aa264bbe65e8e"/>
                <w:id w:val="25155657"/>
                <w:lock w:val="sdtLocked"/>
              </w:sdtPr>
              <w:sdtContent>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pPr>
                    <w:r>
                      <w:rPr>
                        <w:rFonts w:hint="eastAsia"/>
                      </w:rPr>
                      <w:t>上期金额</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a799a1250f946df9181881c4b1f3829"/>
                <w:id w:val="25155658"/>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rPr>
                        <w:b/>
                        <w:bCs/>
                      </w:rPr>
                    </w:pPr>
                    <w:r>
                      <w:rPr>
                        <w:b/>
                        <w:bCs/>
                      </w:rPr>
                      <w:t>1</w:t>
                    </w:r>
                    <w:r>
                      <w:rPr>
                        <w:rFonts w:hint="eastAsia"/>
                        <w:b/>
                        <w:bCs/>
                      </w:rPr>
                      <w:t>．将净利润调节为经营活动现金流量：</w:t>
                    </w:r>
                  </w:p>
                </w:tc>
              </w:sdtContent>
            </w:sdt>
            <w:tc>
              <w:tcPr>
                <w:tcW w:w="2099" w:type="dxa"/>
                <w:tcBorders>
                  <w:top w:val="single" w:color="auto" w:sz="4" w:space="0"/>
                  <w:left w:val="single" w:color="auto" w:sz="4" w:space="0"/>
                  <w:bottom w:val="outset" w:color="auto" w:sz="6" w:space="0"/>
                  <w:right w:val="outset" w:color="auto" w:sz="6" w:space="0"/>
                </w:tcBorders>
                <w:shd w:val="clear" w:color="auto" w:fill="auto"/>
              </w:tcPr>
              <w:p>
                <w:pPr>
                  <w:pStyle w:val="76"/>
                </w:pPr>
              </w:p>
            </w:tc>
            <w:tc>
              <w:tcPr>
                <w:tcW w:w="1896" w:type="dxa"/>
                <w:tcBorders>
                  <w:top w:val="single" w:color="auto" w:sz="4" w:space="0"/>
                  <w:left w:val="outset" w:color="auto" w:sz="6" w:space="0"/>
                  <w:bottom w:val="outset" w:color="auto" w:sz="6" w:space="0"/>
                  <w:right w:val="outset" w:color="auto" w:sz="6" w:space="0"/>
                </w:tcBorders>
                <w:shd w:val="clear" w:color="auto" w:fill="auto"/>
              </w:tcPr>
              <w:p>
                <w:pPr>
                  <w:pStyle w:val="76"/>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8ba8a255d384555b8eb4380916342fb"/>
                <w:id w:val="25155659"/>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净利润</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2,040,573,358.16</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395,609,973.68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7814036ec544a08a51db5a353f5adf0"/>
                <w:id w:val="25155660"/>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加：资产减值准备</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74496ee98ed44629fd0638816a4a7d0"/>
                <w:id w:val="25155661"/>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固定资产折旧、油气资产折耗、生产性生物资产折旧</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433,082,688.77</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421,441,188.45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d21857dddff4f46b0472ee6fc927660"/>
                <w:id w:val="25155662"/>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无形资产摊销</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1,272,099.24</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210,349.87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88800a12fe645aeab959c7549cf4ee3"/>
                <w:id w:val="25155663"/>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长期待摊费用摊销</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d8cb21251d34ba1815e334e49c1f773"/>
                <w:id w:val="25155664"/>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处置固定资产、无形资产和其他长期资产的损失（收益以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85deb2045874a498f408bd31aa1c639"/>
                <w:id w:val="25155665"/>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固定资产报废损失（收益以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5daedcccfe54756bef02f32552a8b7b"/>
                <w:id w:val="25155666"/>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公允价值变动损失（收益以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937,710.34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e4c1f4478ea4e41a213ed937b2d2949"/>
                <w:id w:val="25155667"/>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财务费用（收益以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186,735,989.65</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116,167,437.40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fbd860cf427540b4a431128ef763534d"/>
                <w:id w:val="25155668"/>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投资损失（收益以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1,655,745.00</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-172,531.48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03270151a6684c629b53007cc62dad45"/>
                <w:id w:val="25155669"/>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递延所得税资产减少（增加以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00ead502e934b2fbc5c4c2289a4d701"/>
                <w:id w:val="25155670"/>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递延所得税负债增加（减少以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75c37a3f209d4b1fb608b47efbf0f17b"/>
                <w:id w:val="25155671"/>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存货的减少（增加以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14,703,976.37</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-105,486,398.65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dd2e6fa25164f14ae03eb5c47cfeb92"/>
                <w:id w:val="25155672"/>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经营性应收项目的减少（增加以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-2,858,477,289.30</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rPr>
                    <w:b/>
                  </w:rPr>
                </w:pPr>
                <w:r>
                  <w:t>-232,802,952.82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77e5d0637ca424ea3521e9194452268"/>
                <w:id w:val="25155673"/>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经营性应付项目的增加（减少以</w:t>
                    </w:r>
                    <w:r>
                      <w:t>“</w:t>
                    </w:r>
                    <w:r>
                      <w:rPr>
                        <w:rFonts w:hint="eastAsia"/>
                      </w:rPr>
                      <w:t>－</w:t>
                    </w:r>
                    <w:r>
                      <w:t>”</w:t>
                    </w:r>
                    <w:r>
                      <w:rPr>
                        <w:rFonts w:hint="eastAsia"/>
                      </w:rPr>
                      <w:t>号填列）</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326,538,004.82</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rPr>
                    <w:b/>
                  </w:rPr>
                </w:pPr>
                <w:r>
                  <w:t>1,387,648,930.73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e18d37458f0499f93803040a145120b"/>
                <w:id w:val="25155674"/>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其他</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bbe2315982347e89e355315dde12742"/>
                <w:id w:val="25155675"/>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经营活动产生的现金流量净额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146,084,572.71</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1,983,553,707.52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b693429a97d44a2848da029ca6a724c"/>
                <w:id w:val="25155676"/>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rPr>
                        <w:b/>
                        <w:bCs/>
                      </w:rPr>
                    </w:pPr>
                    <w:r>
                      <w:rPr>
                        <w:b/>
                        <w:bCs/>
                      </w:rPr>
                      <w:t>2</w:t>
                    </w:r>
                    <w:r>
                      <w:rPr>
                        <w:rFonts w:hint="eastAsia"/>
                        <w:b/>
                        <w:bCs/>
                      </w:rPr>
                      <w:t>．不涉及现金收支的重大投资和筹资活动：</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vAlign w:val="center"/>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0d4eb4cfadc41e79028384d476793f6"/>
                <w:id w:val="25155677"/>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债务转为资本</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a6d0c6705c84302bf83bbc5e9c2e85e"/>
                <w:id w:val="25155678"/>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一年内到期的可转换公司债券</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eb4a0a5a3e944b293d87cc004adc11f"/>
                <w:id w:val="25155679"/>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融资租入固定资产</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294459fe7ee46638b8d4b78b8d8c436"/>
                <w:id w:val="25155680"/>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rPr>
                        <w:b/>
                        <w:bCs/>
                      </w:rPr>
                    </w:pPr>
                    <w:r>
                      <w:rPr>
                        <w:b/>
                        <w:bCs/>
                      </w:rPr>
                      <w:t>3</w:t>
                    </w:r>
                    <w:r>
                      <w:rPr>
                        <w:rFonts w:hint="eastAsia"/>
                        <w:b/>
                        <w:bCs/>
                      </w:rPr>
                      <w:t>．现金及现金等价物净变动情况：</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vAlign w:val="center"/>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082c840cddc45338520bd3516ed16c9"/>
                <w:id w:val="25155681"/>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现金的期末余额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1,693,235,611.49</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r>
                  <w:t>3,100,063,948.33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8039ff8828d402facebab3f2e19fcc0"/>
                <w:id w:val="25155682"/>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减：现金的期初余额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vAlign w:val="center"/>
              </w:tcPr>
              <w:p>
                <w:pPr>
                  <w:pStyle w:val="76"/>
                  <w:jc w:val="right"/>
                  <w:rPr>
                    <w:bCs/>
                  </w:rPr>
                </w:pPr>
                <w:r>
                  <w:t>2,837,018,033.86</w:t>
                </w:r>
              </w:p>
            </w:tc>
            <w:tc>
              <w:tcPr>
                <w:tcW w:w="18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6"/>
                  <w:jc w:val="right"/>
                  <w:rPr>
                    <w:bCs/>
                  </w:rPr>
                </w:pPr>
                <w:r>
                  <w:t>1,040,679,800.32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b870bd2bf7a4a1c8f0ef717c730f23e"/>
                <w:id w:val="25155683"/>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加：现金等价物的期末余额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d568407cb3c454d95c72fc52ac36fe9"/>
                <w:id w:val="25155684"/>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减：现金等价物的期初余额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vAlign w:val="center"/>
              </w:tcPr>
              <w:p>
                <w:pPr>
                  <w:pStyle w:val="76"/>
                  <w:jc w:val="right"/>
                  <w:rPr>
                    <w:bCs/>
                  </w:rPr>
                </w:pPr>
              </w:p>
            </w:tc>
            <w:tc>
              <w:tcPr>
                <w:tcW w:w="18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6"/>
                  <w:jc w:val="right"/>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dd0b4fbd20a49c1991e732523abf0b3"/>
                <w:id w:val="25155685"/>
                <w:lock w:val="sdtLocked"/>
              </w:sdtPr>
              <w:sdtContent>
                <w:tc>
                  <w:tcPr>
                    <w:tcW w:w="5054" w:type="dxa"/>
                    <w:tcBorders>
                      <w:top w:val="single" w:color="auto" w:sz="4" w:space="0"/>
                      <w:left w:val="single" w:color="auto" w:sz="4" w:space="0"/>
                      <w:bottom w:val="single" w:color="auto" w:sz="4" w:space="0"/>
                      <w:right w:val="single" w:color="auto" w:sz="4" w:space="0"/>
                    </w:tcBorders>
                    <w:shd w:val="clear" w:color="auto" w:fill="auto"/>
                  </w:tcPr>
                  <w:p>
                    <w:pPr>
                      <w:pStyle w:val="76"/>
                    </w:pPr>
                    <w:r>
                      <w:rPr>
                        <w:rFonts w:hint="eastAsia"/>
                      </w:rPr>
                      <w:t>现金及现金等价物净增加额</w:t>
                    </w:r>
                  </w:p>
                </w:tc>
              </w:sdtContent>
            </w:sdt>
            <w:tc>
              <w:tcPr>
                <w:tcW w:w="2099" w:type="dxa"/>
                <w:tcBorders>
                  <w:top w:val="outset" w:color="auto" w:sz="6" w:space="0"/>
                  <w:left w:val="single" w:color="auto" w:sz="4" w:space="0"/>
                  <w:bottom w:val="outset" w:color="auto" w:sz="6" w:space="0"/>
                  <w:right w:val="outset" w:color="auto" w:sz="6" w:space="0"/>
                </w:tcBorders>
                <w:shd w:val="clear" w:color="auto" w:fill="auto"/>
              </w:tcPr>
              <w:p>
                <w:pPr>
                  <w:pStyle w:val="76"/>
                  <w:jc w:val="right"/>
                </w:pPr>
                <w:r>
                  <w:t>-1,143,782,422.37</w:t>
                </w:r>
              </w:p>
            </w:tc>
            <w:tc>
              <w:tcPr>
                <w:tcW w:w="1896" w:type="dxa"/>
                <w:tcBorders>
                  <w:top w:val="outset" w:color="auto" w:sz="6" w:space="0"/>
                  <w:left w:val="outset" w:color="auto" w:sz="6" w:space="0"/>
                  <w:bottom w:val="outset" w:color="auto" w:sz="6" w:space="0"/>
                  <w:right w:val="outset" w:color="auto" w:sz="6" w:space="0"/>
                </w:tcBorders>
                <w:shd w:val="clear" w:color="auto" w:fill="auto"/>
              </w:tcPr>
              <w:p>
                <w:pPr>
                  <w:pStyle w:val="76"/>
                  <w:jc w:val="right"/>
                  <w:rPr>
                    <w:bCs/>
                  </w:rPr>
                </w:pPr>
                <w:r>
                  <w:t>2,059,384,148.01</w:t>
                </w:r>
              </w:p>
            </w:tc>
          </w:tr>
        </w:tbl>
        <w:p>
          <w:pPr>
            <w:pStyle w:val="76"/>
          </w:pPr>
        </w:p>
        <w:p>
          <w:pPr>
            <w:pStyle w:val="76"/>
          </w:pPr>
        </w:p>
      </w:sdtContent>
    </w:sdt>
    <w:sdt>
      <w:sdtPr>
        <w:rPr>
          <w:rFonts w:hint="eastAsia" w:ascii="宋体" w:hAnsi="宋体" w:cs="宋体"/>
          <w:b w:val="0"/>
          <w:bCs w:val="0"/>
          <w:kern w:val="0"/>
          <w:szCs w:val="21"/>
        </w:rPr>
        <w:alias w:val="模块:取得子公司支付的现金净额"/>
        <w:tag w:val="_GBC_4161b069f3a54b4a9ab95be67b841c16"/>
        <w:id w:val="25155688"/>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74"/>
            </w:numPr>
            <w:rPr>
              <w:szCs w:val="21"/>
            </w:rPr>
          </w:pPr>
          <w:r>
            <w:rPr>
              <w:rFonts w:hint="eastAsia" w:ascii="宋体" w:hAnsi="宋体" w:cs="宋体"/>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2515568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宋体" w:hAnsi="宋体" w:cs="宋体"/>
          <w:b w:val="0"/>
          <w:bCs w:val="0"/>
          <w:kern w:val="0"/>
          <w:szCs w:val="24"/>
        </w:rPr>
        <w:alias w:val="模块:处置子公司收到的现金净额"/>
        <w:tag w:val="_GBC_2b15b115b2104b8ba327581d943203fc"/>
        <w:id w:val="25155690"/>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74"/>
            </w:numPr>
          </w:pPr>
          <w:r>
            <w:rPr>
              <w:rFonts w:hint="eastAsia" w:ascii="宋体" w:hAnsi="宋体" w:cs="宋体"/>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2515568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ascii="宋体" w:hAnsi="宋体" w:cs="宋体"/>
          <w:b w:val="0"/>
          <w:bCs w:val="0"/>
          <w:kern w:val="0"/>
          <w:szCs w:val="21"/>
        </w:rPr>
        <w:alias w:val="模块:现金和现金等价物的构成"/>
        <w:tag w:val="_GBC_b19766ead83d4bb4825af61147af6138"/>
        <w:id w:val="25155705"/>
        <w:lock w:val="sdtLocked"/>
        <w:placeholder>
          <w:docPart w:val="GBC22222222222222222222222222222"/>
        </w:placeholder>
      </w:sdtPr>
      <w:sdtEndPr>
        <w:rPr>
          <w:rFonts w:hint="default" w:ascii="宋体" w:hAnsi="宋体" w:cs="宋体"/>
          <w:b w:val="0"/>
          <w:bCs w:val="0"/>
          <w:kern w:val="0"/>
          <w:szCs w:val="22"/>
        </w:rPr>
      </w:sdtEndPr>
      <w:sdtContent>
        <w:p>
          <w:pPr>
            <w:pStyle w:val="80"/>
            <w:numPr>
              <w:ilvl w:val="0"/>
              <w:numId w:val="74"/>
            </w:numPr>
            <w:rPr>
              <w:szCs w:val="21"/>
            </w:rPr>
          </w:pPr>
          <w:r>
            <w:rPr>
              <w:rFonts w:hint="eastAsia" w:ascii="宋体" w:hAnsi="宋体"/>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515569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b/>
              <w:szCs w:val="21"/>
            </w:rPr>
          </w:pPr>
          <w:r>
            <w:rPr>
              <w:rFonts w:hint="eastAsia"/>
            </w:rPr>
            <w:t>单位：</w:t>
          </w:r>
          <w:sdt>
            <w:sdtPr>
              <w:rPr>
                <w:rFonts w:hint="eastAsia"/>
              </w:rPr>
              <w:alias w:val="单位：财务附注：现金和现金等价物的构成"/>
              <w:tag w:val="_GBC_b65333ba6aec402382c4acbbb6696560"/>
              <w:id w:val="251556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251556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41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d5bf85e9303e4843a7623f09eae933c6"/>
                <w:id w:val="25155694"/>
                <w:lock w:val="sdtLocked"/>
              </w:sdtPr>
              <w:sdtContent>
                <w:tc>
                  <w:tcPr>
                    <w:tcW w:w="4361" w:type="dxa"/>
                    <w:tcBorders>
                      <w:bottom w:val="single" w:color="auto" w:sz="4" w:space="0"/>
                    </w:tcBorders>
                    <w:shd w:val="clear" w:color="auto" w:fill="auto"/>
                    <w:vAlign w:val="center"/>
                  </w:tcPr>
                  <w:p>
                    <w:pPr>
                      <w:pStyle w:val="76"/>
                      <w:ind w:left="-107" w:leftChars="-51"/>
                      <w:jc w:val="center"/>
                      <w:rPr>
                        <w:szCs w:val="21"/>
                      </w:rPr>
                    </w:pPr>
                    <w:r>
                      <w:rPr>
                        <w:rFonts w:hint="eastAsia"/>
                        <w:szCs w:val="21"/>
                      </w:rPr>
                      <w:t>项目</w:t>
                    </w:r>
                  </w:p>
                </w:tc>
              </w:sdtContent>
            </w:sdt>
            <w:sdt>
              <w:sdtPr>
                <w:tag w:val="_PLD_e3a960d2f6474687b9cbaec3f1075e19"/>
                <w:id w:val="25155695"/>
                <w:lock w:val="sdtLocked"/>
              </w:sdtPr>
              <w:sdtContent>
                <w:tc>
                  <w:tcPr>
                    <w:tcW w:w="2411" w:type="dxa"/>
                    <w:shd w:val="clear" w:color="auto" w:fill="auto"/>
                    <w:vAlign w:val="center"/>
                  </w:tcPr>
                  <w:p>
                    <w:pPr>
                      <w:pStyle w:val="76"/>
                      <w:jc w:val="center"/>
                      <w:rPr>
                        <w:szCs w:val="21"/>
                      </w:rPr>
                    </w:pPr>
                    <w:r>
                      <w:rPr>
                        <w:rFonts w:hint="eastAsia"/>
                        <w:szCs w:val="21"/>
                      </w:rPr>
                      <w:t>期末余额</w:t>
                    </w:r>
                  </w:p>
                </w:tc>
              </w:sdtContent>
            </w:sdt>
            <w:sdt>
              <w:sdtPr>
                <w:tag w:val="_PLD_0d0909eba9344c8ab96c7fb88f0b117a"/>
                <w:id w:val="25155696"/>
                <w:lock w:val="sdtLocked"/>
              </w:sdtPr>
              <w:sdtContent>
                <w:tc>
                  <w:tcPr>
                    <w:tcW w:w="2277" w:type="dxa"/>
                    <w:shd w:val="clear" w:color="auto" w:fill="auto"/>
                  </w:tcPr>
                  <w:p>
                    <w:pPr>
                      <w:pStyle w:val="76"/>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6a173ce99a864661a21d726eff0af5b3"/>
                <w:id w:val="25155697"/>
                <w:lock w:val="sdtLocked"/>
              </w:sdtPr>
              <w:sdtContent>
                <w:tc>
                  <w:tcPr>
                    <w:tcW w:w="4361" w:type="dxa"/>
                    <w:shd w:val="clear" w:color="auto" w:fill="auto"/>
                    <w:vAlign w:val="center"/>
                  </w:tcPr>
                  <w:p>
                    <w:pPr>
                      <w:pStyle w:val="76"/>
                      <w:rPr>
                        <w:szCs w:val="21"/>
                      </w:rPr>
                    </w:pPr>
                    <w:r>
                      <w:rPr>
                        <w:rFonts w:hint="eastAsia"/>
                        <w:szCs w:val="21"/>
                      </w:rPr>
                      <w:t>一、现金</w:t>
                    </w:r>
                  </w:p>
                </w:tc>
              </w:sdtContent>
            </w:sdt>
            <w:tc>
              <w:tcPr>
                <w:tcW w:w="2411" w:type="dxa"/>
                <w:shd w:val="clear" w:color="auto" w:fill="auto"/>
              </w:tcPr>
              <w:p>
                <w:pPr>
                  <w:pStyle w:val="76"/>
                  <w:jc w:val="right"/>
                  <w:rPr>
                    <w:szCs w:val="21"/>
                  </w:rPr>
                </w:pPr>
                <w:r>
                  <w:rPr>
                    <w:szCs w:val="21"/>
                  </w:rPr>
                  <w:t>1,693,235,611.49</w:t>
                </w:r>
              </w:p>
            </w:tc>
            <w:tc>
              <w:tcPr>
                <w:tcW w:w="2277" w:type="dxa"/>
                <w:shd w:val="clear" w:color="auto" w:fill="auto"/>
              </w:tcPr>
              <w:p>
                <w:pPr>
                  <w:pStyle w:val="76"/>
                  <w:jc w:val="right"/>
                  <w:rPr>
                    <w:szCs w:val="21"/>
                  </w:rPr>
                </w:pPr>
                <w:r>
                  <w:t>2,837,018,033.86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00026e2b0a3d4b39803714a078a9949d"/>
                <w:id w:val="25155698"/>
                <w:lock w:val="sdtLocked"/>
              </w:sdtPr>
              <w:sdtContent>
                <w:tc>
                  <w:tcPr>
                    <w:tcW w:w="4361" w:type="dxa"/>
                    <w:shd w:val="clear" w:color="auto" w:fill="auto"/>
                    <w:vAlign w:val="center"/>
                  </w:tcPr>
                  <w:p>
                    <w:pPr>
                      <w:pStyle w:val="76"/>
                      <w:rPr>
                        <w:szCs w:val="21"/>
                      </w:rPr>
                    </w:pPr>
                    <w:r>
                      <w:rPr>
                        <w:rFonts w:hint="eastAsia"/>
                        <w:szCs w:val="21"/>
                      </w:rPr>
                      <w:t>其中：库存现金</w:t>
                    </w:r>
                  </w:p>
                </w:tc>
              </w:sdtContent>
            </w:sdt>
            <w:tc>
              <w:tcPr>
                <w:tcW w:w="2411" w:type="dxa"/>
                <w:shd w:val="clear" w:color="auto" w:fill="auto"/>
              </w:tcPr>
              <w:p>
                <w:pPr>
                  <w:pStyle w:val="76"/>
                  <w:jc w:val="right"/>
                  <w:rPr>
                    <w:szCs w:val="21"/>
                  </w:rPr>
                </w:pPr>
              </w:p>
            </w:tc>
            <w:tc>
              <w:tcPr>
                <w:tcW w:w="2277"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703c5ac82ddb4fd7bf9d7372c95ca92f"/>
                <w:id w:val="25155699"/>
                <w:lock w:val="sdtLocked"/>
              </w:sdtPr>
              <w:sdtContent>
                <w:tc>
                  <w:tcPr>
                    <w:tcW w:w="4361" w:type="dxa"/>
                    <w:shd w:val="clear" w:color="auto" w:fill="auto"/>
                    <w:vAlign w:val="center"/>
                  </w:tcPr>
                  <w:p>
                    <w:pPr>
                      <w:pStyle w:val="76"/>
                      <w:rPr>
                        <w:szCs w:val="21"/>
                      </w:rPr>
                    </w:pPr>
                    <w:r>
                      <w:rPr>
                        <w:rFonts w:hint="eastAsia"/>
                        <w:szCs w:val="21"/>
                      </w:rPr>
                      <w:t>　　可随时用于支付的银行存款</w:t>
                    </w:r>
                  </w:p>
                </w:tc>
              </w:sdtContent>
            </w:sdt>
            <w:tc>
              <w:tcPr>
                <w:tcW w:w="2411" w:type="dxa"/>
                <w:shd w:val="clear" w:color="auto" w:fill="auto"/>
              </w:tcPr>
              <w:p>
                <w:pPr>
                  <w:pStyle w:val="76"/>
                  <w:jc w:val="right"/>
                  <w:rPr>
                    <w:szCs w:val="21"/>
                  </w:rPr>
                </w:pPr>
                <w:r>
                  <w:t>1,693,222,730.04</w:t>
                </w:r>
              </w:p>
            </w:tc>
            <w:tc>
              <w:tcPr>
                <w:tcW w:w="2277" w:type="dxa"/>
                <w:shd w:val="clear" w:color="auto" w:fill="auto"/>
              </w:tcPr>
              <w:p>
                <w:pPr>
                  <w:pStyle w:val="76"/>
                  <w:jc w:val="right"/>
                  <w:rPr>
                    <w:szCs w:val="21"/>
                  </w:rPr>
                </w:pPr>
                <w:r>
                  <w:t>2,837,003,776.29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39dc74346d4643c0b32e781621749a55"/>
                <w:id w:val="25155700"/>
                <w:lock w:val="sdtLocked"/>
              </w:sdtPr>
              <w:sdtContent>
                <w:tc>
                  <w:tcPr>
                    <w:tcW w:w="4361" w:type="dxa"/>
                    <w:shd w:val="clear" w:color="auto" w:fill="auto"/>
                    <w:vAlign w:val="center"/>
                  </w:tcPr>
                  <w:p>
                    <w:pPr>
                      <w:pStyle w:val="76"/>
                      <w:rPr>
                        <w:szCs w:val="21"/>
                      </w:rPr>
                    </w:pPr>
                    <w:r>
                      <w:rPr>
                        <w:rFonts w:hint="eastAsia"/>
                        <w:szCs w:val="21"/>
                      </w:rPr>
                      <w:t>　　可随时用于支付的其他货币资金</w:t>
                    </w:r>
                  </w:p>
                </w:tc>
              </w:sdtContent>
            </w:sdt>
            <w:tc>
              <w:tcPr>
                <w:tcW w:w="2411" w:type="dxa"/>
                <w:shd w:val="clear" w:color="auto" w:fill="auto"/>
              </w:tcPr>
              <w:p>
                <w:pPr>
                  <w:pStyle w:val="76"/>
                  <w:jc w:val="right"/>
                  <w:rPr>
                    <w:szCs w:val="21"/>
                  </w:rPr>
                </w:pPr>
                <w:r>
                  <w:rPr>
                    <w:szCs w:val="21"/>
                  </w:rPr>
                  <w:t>12,881.45</w:t>
                </w:r>
              </w:p>
            </w:tc>
            <w:tc>
              <w:tcPr>
                <w:tcW w:w="2277" w:type="dxa"/>
                <w:shd w:val="clear" w:color="auto" w:fill="auto"/>
              </w:tcPr>
              <w:p>
                <w:pPr>
                  <w:pStyle w:val="76"/>
                  <w:jc w:val="right"/>
                  <w:rPr>
                    <w:szCs w:val="21"/>
                  </w:rPr>
                </w:pPr>
                <w:r>
                  <w:t>14,257.57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908c5e073add4fa8a13ed054455379d9"/>
                <w:id w:val="25155701"/>
                <w:lock w:val="sdtLocked"/>
              </w:sdtPr>
              <w:sdtContent>
                <w:tc>
                  <w:tcPr>
                    <w:tcW w:w="4361" w:type="dxa"/>
                    <w:shd w:val="clear" w:color="auto" w:fill="auto"/>
                    <w:vAlign w:val="center"/>
                  </w:tcPr>
                  <w:p>
                    <w:pPr>
                      <w:pStyle w:val="76"/>
                      <w:rPr>
                        <w:szCs w:val="21"/>
                      </w:rPr>
                    </w:pPr>
                    <w:r>
                      <w:rPr>
                        <w:rFonts w:hint="eastAsia"/>
                        <w:szCs w:val="21"/>
                      </w:rPr>
                      <w:t>二、现金等价物</w:t>
                    </w:r>
                  </w:p>
                </w:tc>
              </w:sdtContent>
            </w:sdt>
            <w:tc>
              <w:tcPr>
                <w:tcW w:w="2411" w:type="dxa"/>
                <w:shd w:val="clear" w:color="auto" w:fill="auto"/>
              </w:tcPr>
              <w:p>
                <w:pPr>
                  <w:pStyle w:val="76"/>
                  <w:jc w:val="right"/>
                  <w:rPr>
                    <w:szCs w:val="21"/>
                  </w:rPr>
                </w:pPr>
              </w:p>
            </w:tc>
            <w:tc>
              <w:tcPr>
                <w:tcW w:w="2277" w:type="dxa"/>
                <w:shd w:val="clear" w:color="auto" w:fill="auto"/>
              </w:tcPr>
              <w:p>
                <w:pPr>
                  <w:pStyle w:val="7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4d07bfc591df4d5483e486621c246fa5"/>
                <w:id w:val="25155702"/>
                <w:lock w:val="sdtLocked"/>
              </w:sdtPr>
              <w:sdtContent>
                <w:tc>
                  <w:tcPr>
                    <w:tcW w:w="4361" w:type="dxa"/>
                    <w:shd w:val="clear" w:color="auto" w:fill="auto"/>
                    <w:vAlign w:val="center"/>
                  </w:tcPr>
                  <w:p>
                    <w:pPr>
                      <w:pStyle w:val="76"/>
                      <w:rPr>
                        <w:szCs w:val="21"/>
                      </w:rPr>
                    </w:pPr>
                    <w:r>
                      <w:rPr>
                        <w:rFonts w:hint="eastAsia"/>
                        <w:szCs w:val="21"/>
                      </w:rPr>
                      <w:t>三、期末现金及现金等价物余额</w:t>
                    </w:r>
                  </w:p>
                </w:tc>
              </w:sdtContent>
            </w:sdt>
            <w:tc>
              <w:tcPr>
                <w:tcW w:w="2411" w:type="dxa"/>
                <w:shd w:val="clear" w:color="auto" w:fill="auto"/>
              </w:tcPr>
              <w:p>
                <w:pPr>
                  <w:pStyle w:val="76"/>
                  <w:jc w:val="right"/>
                  <w:rPr>
                    <w:szCs w:val="21"/>
                  </w:rPr>
                </w:pPr>
                <w:r>
                  <w:rPr>
                    <w:szCs w:val="21"/>
                  </w:rPr>
                  <w:t>1,693,235,611.49</w:t>
                </w:r>
              </w:p>
            </w:tc>
            <w:tc>
              <w:tcPr>
                <w:tcW w:w="2277" w:type="dxa"/>
                <w:shd w:val="clear" w:color="auto" w:fill="auto"/>
              </w:tcPr>
              <w:p>
                <w:pPr>
                  <w:pStyle w:val="76"/>
                  <w:jc w:val="right"/>
                  <w:rPr>
                    <w:szCs w:val="21"/>
                  </w:rPr>
                </w:pPr>
                <w:r>
                  <w:t>2,837,018,033.86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a7dfcdf890714f1c879ddf8d09d45801"/>
                <w:id w:val="25155703"/>
                <w:lock w:val="sdtLocked"/>
              </w:sdtPr>
              <w:sdtContent>
                <w:tc>
                  <w:tcPr>
                    <w:tcW w:w="4361" w:type="dxa"/>
                    <w:shd w:val="clear" w:color="auto" w:fill="auto"/>
                    <w:vAlign w:val="center"/>
                  </w:tcPr>
                  <w:p>
                    <w:pPr>
                      <w:pStyle w:val="76"/>
                      <w:rPr>
                        <w:szCs w:val="21"/>
                      </w:rPr>
                    </w:pPr>
                    <w:r>
                      <w:rPr>
                        <w:rFonts w:hint="eastAsia"/>
                        <w:szCs w:val="21"/>
                      </w:rPr>
                      <w:t>其中：母公司或集团内子公司使用受限制</w:t>
                    </w:r>
                  </w:p>
                  <w:p>
                    <w:pPr>
                      <w:pStyle w:val="76"/>
                      <w:rPr>
                        <w:szCs w:val="21"/>
                      </w:rPr>
                    </w:pPr>
                    <w:r>
                      <w:rPr>
                        <w:rFonts w:hint="eastAsia"/>
                        <w:szCs w:val="21"/>
                      </w:rPr>
                      <w:t>的现金和现金等价物</w:t>
                    </w:r>
                  </w:p>
                </w:tc>
              </w:sdtContent>
            </w:sdt>
            <w:tc>
              <w:tcPr>
                <w:tcW w:w="2411" w:type="dxa"/>
                <w:shd w:val="clear" w:color="auto" w:fill="auto"/>
              </w:tcPr>
              <w:p>
                <w:pPr>
                  <w:pStyle w:val="76"/>
                  <w:jc w:val="right"/>
                  <w:rPr>
                    <w:szCs w:val="21"/>
                  </w:rPr>
                </w:pPr>
              </w:p>
            </w:tc>
            <w:tc>
              <w:tcPr>
                <w:tcW w:w="2277" w:type="dxa"/>
                <w:shd w:val="clear" w:color="auto" w:fill="auto"/>
              </w:tcPr>
              <w:p>
                <w:pPr>
                  <w:pStyle w:val="76"/>
                  <w:jc w:val="right"/>
                  <w:rPr>
                    <w:szCs w:val="21"/>
                  </w:rPr>
                </w:pPr>
              </w:p>
            </w:tc>
          </w:tr>
        </w:tbl>
        <w:p>
          <w:pPr>
            <w:pStyle w:val="76"/>
          </w:pPr>
        </w:p>
        <w:p>
          <w:pPr>
            <w:pStyle w:val="76"/>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25155704"/>
            <w:lock w:val="sdtContentLocked"/>
            <w:placeholder>
              <w:docPart w:val="GBC22222222222222222222222222222"/>
            </w:placeholder>
          </w:sdtPr>
          <w:sdtEndPr>
            <w:rPr>
              <w:szCs w:val="21"/>
            </w:rPr>
          </w:sdtEndPr>
          <w:sdtContent>
            <w:p>
              <w:pPr>
                <w:pStyle w:val="76"/>
                <w:spacing w:before="60" w:after="60"/>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pPr>
    </w:p>
    <w:sdt>
      <w:sdtPr>
        <w:rPr>
          <w:rFonts w:hint="eastAsia" w:ascii="宋体" w:hAnsi="宋体" w:cs="宋体"/>
          <w:b w:val="0"/>
          <w:bCs w:val="0"/>
          <w:kern w:val="0"/>
          <w:szCs w:val="21"/>
        </w:rPr>
        <w:alias w:val="模块:所有者权益变动表项目注释"/>
        <w:tag w:val="_GBC_f67b410d6123403caa2cee84fe191372"/>
        <w:id w:val="25155707"/>
        <w:lock w:val="sdtLocked"/>
        <w:placeholder>
          <w:docPart w:val="GBC22222222222222222222222222222"/>
        </w:placeholder>
      </w:sdtPr>
      <w:sdtEndPr>
        <w:rPr>
          <w:rFonts w:hint="default" w:ascii="宋体" w:hAnsi="宋体" w:cstheme="minorBidi"/>
          <w:b w:val="0"/>
          <w:bCs w:val="0"/>
          <w:color w:val="FF00FF"/>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所有者权益变动表项目注释</w:t>
          </w:r>
        </w:p>
        <w:p>
          <w:pPr>
            <w:pStyle w:val="76"/>
          </w:pPr>
          <w:r>
            <w:rPr>
              <w:rFonts w:hint="eastAsia"/>
            </w:rPr>
            <w:t>说明对上年期末余额进行调整的“其他”项目名称及调整金额等事项：</w:t>
          </w:r>
        </w:p>
        <w:sdt>
          <w:sdtPr>
            <w:alias w:val="是否适用：所有者权益变动表项目注释[双击切换]"/>
            <w:tag w:val="_GBC_61e84760a3fd4a58bb2421e95114d9b8"/>
            <w:id w:val="25155706"/>
            <w:lock w:val="sdtContentLocked"/>
            <w:placeholder>
              <w:docPart w:val="GBC22222222222222222222222222222"/>
            </w:placeholder>
          </w:sdtPr>
          <w:sdtContent>
            <w:p>
              <w:pPr>
                <w:pStyle w:val="76"/>
                <w:rPr>
                  <w:color w:val="FF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1"/>
        </w:rPr>
        <w:alias w:val="模块:所有权或使用权受到限制的资产"/>
        <w:tag w:val="_GBC_5707fab016f94974bd447e81a88f0183"/>
        <w:id w:val="25155718"/>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所有权或使用权受到限制的资产</w:t>
          </w:r>
        </w:p>
        <w:sdt>
          <w:sdtPr>
            <w:alias w:val="是否适用：所有权或使用权受到限制的资产[双击切换]"/>
            <w:tag w:val="_GBC_52ae2d0e78d54772b7a0dc510205909b"/>
            <w:id w:val="2515570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所有权或使用权受到限制的资产"/>
              <w:tag w:val="_GBC_41b1006bd71a4064aa99aa2d8750f726"/>
              <w:id w:val="25155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所有权或使用权受到限制的资产"/>
              <w:tag w:val="_GBC_065bcf44f5b34330834a869f23aa83bc"/>
              <w:id w:val="251557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2"/>
            <w:tblW w:w="88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98"/>
            <w:gridCol w:w="2268"/>
            <w:gridCol w:w="43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e7174293a57c4a70b40b8a0fb698e34e"/>
                <w:id w:val="25155711"/>
                <w:lock w:val="sdtLocked"/>
              </w:sdtPr>
              <w:sdtContent>
                <w:tc>
                  <w:tcPr>
                    <w:tcW w:w="2298"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szCs w:val="21"/>
                      </w:rPr>
                    </w:pPr>
                    <w:r>
                      <w:rPr>
                        <w:rFonts w:hint="eastAsia"/>
                        <w:szCs w:val="21"/>
                      </w:rPr>
                      <w:t>项目</w:t>
                    </w:r>
                  </w:p>
                </w:tc>
              </w:sdtContent>
            </w:sdt>
            <w:sdt>
              <w:sdtPr>
                <w:tag w:val="_PLD_67814dca9df1416c87e0ce7ca03c3bf6"/>
                <w:id w:val="25155712"/>
                <w:lock w:val="sdtLocked"/>
              </w:sdtPr>
              <w:sdtContent>
                <w:tc>
                  <w:tcPr>
                    <w:tcW w:w="2268"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szCs w:val="21"/>
                      </w:rPr>
                    </w:pPr>
                    <w:r>
                      <w:rPr>
                        <w:rFonts w:hint="eastAsia"/>
                        <w:szCs w:val="21"/>
                      </w:rPr>
                      <w:t>期末账面价值</w:t>
                    </w:r>
                  </w:p>
                </w:tc>
              </w:sdtContent>
            </w:sdt>
            <w:sdt>
              <w:sdtPr>
                <w:tag w:val="_PLD_874205b57d36493284671995a440c448"/>
                <w:id w:val="25155713"/>
                <w:lock w:val="sdtLocked"/>
              </w:sdtPr>
              <w:sdtContent>
                <w:tc>
                  <w:tcPr>
                    <w:tcW w:w="4327"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szCs w:val="21"/>
                      </w:rPr>
                    </w:pPr>
                    <w:r>
                      <w:rPr>
                        <w:rFonts w:hint="eastAsia"/>
                        <w:szCs w:val="21"/>
                      </w:rPr>
                      <w:t>受限原因</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sdt>
              <w:sdtPr>
                <w:tag w:val="_PLD_ea504ac4c8814083a63e01e1e73c7bb1"/>
                <w:id w:val="25155714"/>
                <w:lock w:val="sdtLocked"/>
              </w:sdtPr>
              <w:sdtContent>
                <w:tc>
                  <w:tcPr>
                    <w:tcW w:w="2298"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货币资金</w:t>
                    </w:r>
                  </w:p>
                </w:tc>
              </w:sdtContent>
            </w:sdt>
            <w:tc>
              <w:tcPr>
                <w:tcW w:w="226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rPr>
                    <w:szCs w:val="21"/>
                  </w:rPr>
                  <w:t>90,322,256.61</w:t>
                </w:r>
              </w:p>
            </w:tc>
            <w:tc>
              <w:tcPr>
                <w:tcW w:w="4327"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 w:val="18"/>
                    <w:szCs w:val="18"/>
                  </w:rPr>
                  <w:t>信用证保证金、银行承兑汇票保证金、贷款保证金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366d52197ef54558981550776d6d004d"/>
                <w:id w:val="25155715"/>
                <w:lock w:val="sdtLocked"/>
              </w:sdtPr>
              <w:sdtContent>
                <w:tc>
                  <w:tcPr>
                    <w:tcW w:w="2298"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固定资产</w:t>
                    </w:r>
                  </w:p>
                </w:tc>
              </w:sdtContent>
            </w:sdt>
            <w:tc>
              <w:tcPr>
                <w:tcW w:w="226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rPr>
                    <w:rFonts w:hint="eastAsia"/>
                    <w:szCs w:val="21"/>
                  </w:rPr>
                  <w:t>649,078,477.11</w:t>
                </w:r>
              </w:p>
            </w:tc>
            <w:tc>
              <w:tcPr>
                <w:tcW w:w="4327"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 w:val="18"/>
                    <w:szCs w:val="18"/>
                  </w:rPr>
                  <w:t>借款抵押的固定资产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2f734ac5ef74ac0a808bf747f7a4e5a"/>
                <w:id w:val="25155716"/>
                <w:lock w:val="sdtLocked"/>
              </w:sdtPr>
              <w:sdtContent>
                <w:tc>
                  <w:tcPr>
                    <w:tcW w:w="22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合计</w:t>
                    </w:r>
                  </w:p>
                </w:tc>
              </w:sdtContent>
            </w:sdt>
            <w:tc>
              <w:tcPr>
                <w:tcW w:w="2268" w:type="dxa"/>
                <w:tcBorders>
                  <w:top w:val="single" w:color="auto" w:sz="6" w:space="0"/>
                  <w:left w:val="single" w:color="auto" w:sz="4" w:space="0"/>
                  <w:bottom w:val="single" w:color="auto" w:sz="6" w:space="0"/>
                  <w:right w:val="single" w:color="auto" w:sz="4" w:space="0"/>
                </w:tcBorders>
                <w:shd w:val="clear" w:color="auto" w:fill="auto"/>
              </w:tcPr>
              <w:p>
                <w:pPr>
                  <w:pStyle w:val="76"/>
                  <w:jc w:val="right"/>
                  <w:rPr>
                    <w:szCs w:val="21"/>
                  </w:rPr>
                </w:pPr>
                <w:r>
                  <w:rPr>
                    <w:szCs w:val="21"/>
                  </w:rPr>
                  <w:t>739,400,733.72</w:t>
                </w:r>
              </w:p>
            </w:tc>
            <w:tc>
              <w:tcPr>
                <w:tcW w:w="4327" w:type="dxa"/>
                <w:tcBorders>
                  <w:top w:val="single" w:color="auto" w:sz="6" w:space="0"/>
                  <w:left w:val="single" w:color="auto" w:sz="4" w:space="0"/>
                  <w:bottom w:val="single" w:color="auto" w:sz="6" w:space="0"/>
                  <w:right w:val="single" w:color="auto" w:sz="4" w:space="0"/>
                </w:tcBorders>
                <w:shd w:val="clear" w:color="auto" w:fill="auto"/>
              </w:tcPr>
              <w:p>
                <w:pPr>
                  <w:pStyle w:val="76"/>
                  <w:jc w:val="center"/>
                  <w:rPr>
                    <w:szCs w:val="21"/>
                  </w:rPr>
                </w:pPr>
                <w:r>
                  <w:rPr>
                    <w:rFonts w:hint="eastAsia"/>
                    <w:szCs w:val="21"/>
                  </w:rPr>
                  <w:t>/</w:t>
                </w:r>
              </w:p>
            </w:tc>
          </w:tr>
        </w:tbl>
        <w:p>
          <w:pPr>
            <w:pStyle w:val="76"/>
            <w:rPr>
              <w:szCs w:val="21"/>
            </w:rPr>
          </w:pPr>
        </w:p>
      </w:sdtContent>
    </w:sdt>
    <w:p>
      <w:pPr>
        <w:pStyle w:val="76"/>
        <w:rPr>
          <w:szCs w:val="21"/>
        </w:rPr>
      </w:pPr>
    </w:p>
    <w:sdt>
      <w:sdtPr>
        <w:rPr>
          <w:rFonts w:hint="eastAsia" w:ascii="宋体" w:hAnsi="宋体" w:cs="宋体"/>
          <w:b w:val="0"/>
          <w:bCs w:val="0"/>
          <w:kern w:val="0"/>
          <w:szCs w:val="21"/>
        </w:rPr>
        <w:alias w:val="模块:外币货币性项目"/>
        <w:tag w:val="_GBC_7a80c9b78caf4e6686905c555fe61f9a"/>
        <w:id w:val="25155733"/>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46"/>
            </w:numPr>
            <w:tabs>
              <w:tab w:val="left" w:pos="504"/>
            </w:tabs>
            <w:rPr>
              <w:rFonts w:ascii="宋体" w:hAnsi="宋体"/>
              <w:szCs w:val="21"/>
            </w:rPr>
          </w:pPr>
          <w:r>
            <w:rPr>
              <w:rFonts w:hint="eastAsia" w:ascii="宋体" w:hAnsi="宋体"/>
              <w:szCs w:val="21"/>
            </w:rPr>
            <w:t>外币货币性项目</w:t>
          </w:r>
        </w:p>
        <w:p>
          <w:pPr>
            <w:pStyle w:val="90"/>
            <w:numPr>
              <w:ilvl w:val="0"/>
              <w:numId w:val="75"/>
            </w:numPr>
            <w:tabs>
              <w:tab w:val="left" w:pos="700"/>
            </w:tabs>
            <w:spacing w:before="60" w:after="60"/>
            <w:ind w:firstLineChars="0"/>
            <w:jc w:val="left"/>
            <w:rPr>
              <w:rFonts w:ascii="宋体" w:hAnsi="宋体"/>
              <w:szCs w:val="21"/>
            </w:rPr>
          </w:pPr>
          <w:r>
            <w:rPr>
              <w:rStyle w:val="41"/>
              <w:rFonts w:hint="eastAsia" w:ascii="宋体" w:hAnsi="宋体"/>
              <w:szCs w:val="21"/>
            </w:rPr>
            <w:t>外币货币性项目</w:t>
          </w:r>
          <w:r>
            <w:rPr>
              <w:rFonts w:hint="eastAsia" w:ascii="宋体" w:hAnsi="宋体"/>
              <w:szCs w:val="21"/>
            </w:rPr>
            <w:t>：</w:t>
          </w:r>
        </w:p>
        <w:sdt>
          <w:sdtPr>
            <w:alias w:val="是否适用：外币货币性项目[双击切换]"/>
            <w:tag w:val="_GBC_7b0870ec262840d78495babcff3639aa"/>
            <w:id w:val="2515571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外币货币性项目"/>
              <w:tag w:val="_GBC_52ed5330bd884651892991446f0f1ae0"/>
              <w:id w:val="251557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029"/>
            <w:gridCol w:w="203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23fb635896a412a90a7037a1d8d2e08"/>
                <w:id w:val="25155721"/>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项目</w:t>
                    </w:r>
                  </w:p>
                </w:tc>
              </w:sdtContent>
            </w:sdt>
            <w:sdt>
              <w:sdtPr>
                <w:tag w:val="_PLD_5b1451530c274f108ee07f4be42eeef3"/>
                <w:id w:val="25155722"/>
                <w:lock w:val="sdtLocked"/>
              </w:sdtPr>
              <w:sdtContent>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期末外币余额</w:t>
                    </w:r>
                  </w:p>
                </w:tc>
              </w:sdtContent>
            </w:sdt>
            <w:sdt>
              <w:sdtPr>
                <w:tag w:val="_PLD_62f11507bcfe4a0283337f57be987305"/>
                <w:id w:val="25155723"/>
                <w:lock w:val="sdtLocked"/>
              </w:sdtPr>
              <w:sdtContent>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折算汇率</w:t>
                    </w:r>
                  </w:p>
                </w:tc>
              </w:sdtContent>
            </w:sdt>
            <w:sdt>
              <w:sdtPr>
                <w:tag w:val="_PLD_e4c6faa92b2247778c531d46b085aa36"/>
                <w:id w:val="25155724"/>
                <w:lock w:val="sdtLocked"/>
              </w:sdtPr>
              <w:sdtContent>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szCs w:val="21"/>
                      </w:rPr>
                    </w:pPr>
                    <w:r>
                      <w:rPr>
                        <w:rFonts w:hint="eastAsia"/>
                        <w:szCs w:val="21"/>
                      </w:rPr>
                      <w:t>期末折算人民币</w:t>
                    </w:r>
                  </w:p>
                  <w:p>
                    <w:pPr>
                      <w:pStyle w:val="76"/>
                      <w:jc w:val="center"/>
                      <w:rPr>
                        <w:szCs w:val="21"/>
                      </w:rPr>
                    </w:pPr>
                    <w:r>
                      <w:rPr>
                        <w:rFonts w:hint="eastAsia"/>
                        <w:szCs w:val="21"/>
                      </w:rPr>
                      <w:t>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ca4698e7864d208d0143ab1e4b50a2"/>
                <w:id w:val="25155725"/>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货币资金</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3,780,802.12</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25,007,861.43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a8779a7bb8f4b21b86116b2664c7e41"/>
                <w:id w:val="25155726"/>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其中：美元</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3,780,802.12</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25,007,861.43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6c964b2ca5e4d96b89b592f766adf56"/>
                <w:id w:val="25155727"/>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应收账款</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44,000,000.00</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291,130,400.00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1a25b4fca9480aa2f8c1f78f1185a2"/>
                <w:id w:val="25155728"/>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其中：美元</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44,000,000.00</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291,130,400.00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df06b7ec094b98884e99684ce2f0ac"/>
                <w:id w:val="25155729"/>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长期借款</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393,569,372.90</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 2,604,091,112.74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fa9d6820954e5c9b0749731394db3a"/>
                <w:id w:val="25155730"/>
                <w:lock w:val="sdtLocked"/>
              </w:sdtPr>
              <w:sdtContent>
                <w:tc>
                  <w:tcPr>
                    <w:tcW w:w="2876" w:type="dxa"/>
                    <w:tcBorders>
                      <w:top w:val="single" w:color="auto" w:sz="4" w:space="0"/>
                      <w:left w:val="single" w:color="auto" w:sz="4" w:space="0"/>
                      <w:bottom w:val="single" w:color="auto" w:sz="4" w:space="0"/>
                      <w:right w:val="single" w:color="auto" w:sz="4" w:space="0"/>
                    </w:tcBorders>
                    <w:shd w:val="clear" w:color="auto" w:fill="auto"/>
                  </w:tcPr>
                  <w:p>
                    <w:pPr>
                      <w:pStyle w:val="76"/>
                      <w:rPr>
                        <w:szCs w:val="21"/>
                      </w:rPr>
                    </w:pPr>
                    <w:r>
                      <w:rPr>
                        <w:rFonts w:hint="eastAsia"/>
                        <w:szCs w:val="21"/>
                      </w:rPr>
                      <w:t>其中：美元</w:t>
                    </w:r>
                  </w:p>
                </w:tc>
              </w:sdtContent>
            </w:sdt>
            <w:tc>
              <w:tcPr>
                <w:tcW w:w="2029"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393,569,372.90</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6.6166</w:t>
                </w:r>
              </w:p>
            </w:tc>
            <w:tc>
              <w:tcPr>
                <w:tcW w:w="210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Cs w:val="21"/>
                  </w:rPr>
                </w:pPr>
                <w:r>
                  <w:t>2,604,091,112.74</w:t>
                </w:r>
              </w:p>
            </w:tc>
          </w:tr>
        </w:tbl>
        <w:p>
          <w:pPr>
            <w:pStyle w:val="76"/>
          </w:pPr>
        </w:p>
        <w:p>
          <w:pPr>
            <w:pStyle w:val="76"/>
            <w:rPr>
              <w:szCs w:val="21"/>
            </w:rPr>
          </w:pPr>
        </w:p>
        <w:p>
          <w:pPr>
            <w:pStyle w:val="76"/>
            <w:rPr>
              <w:szCs w:val="21"/>
            </w:rPr>
          </w:pPr>
        </w:p>
        <w:p>
          <w:pPr>
            <w:pStyle w:val="90"/>
            <w:numPr>
              <w:ilvl w:val="0"/>
              <w:numId w:val="75"/>
            </w:numPr>
            <w:tabs>
              <w:tab w:val="left" w:pos="700"/>
            </w:tabs>
            <w:spacing w:before="60" w:after="60"/>
            <w:ind w:firstLineChars="0"/>
            <w:jc w:val="left"/>
            <w:rPr>
              <w:b/>
              <w:szCs w:val="21"/>
            </w:rPr>
          </w:pPr>
          <w:r>
            <w:rPr>
              <w:rStyle w:val="41"/>
              <w:rFonts w:hint="eastAsia" w:ascii="宋体" w:hAnsi="宋体"/>
              <w:szCs w:val="21"/>
            </w:rPr>
            <w:t>境外</w:t>
          </w:r>
          <w:r>
            <w:rPr>
              <w:rFonts w:hint="eastAsia"/>
              <w:b/>
              <w:szCs w:val="21"/>
            </w:rPr>
            <w:t>经营实体说明，包括对于重要的境外经营实体，应披露其境外主要经营地、记账本位币及选择依据，记账本位币发生变化的还应披露原因。</w:t>
          </w:r>
        </w:p>
        <w:p>
          <w:pPr>
            <w:pStyle w:val="76"/>
            <w:rPr>
              <w:szCs w:val="21"/>
            </w:rPr>
          </w:pPr>
          <w:sdt>
            <w:sdtPr>
              <w:rPr>
                <w:szCs w:val="21"/>
              </w:rPr>
              <w:alias w:val="是否适用：境外经营实体主要报表项目的折算汇率[双击切换]"/>
              <w:tag w:val="_GBC_4ad16f5c306d4c6ead144dfd007fb925"/>
              <w:id w:val="25155732"/>
              <w:lock w:val="sdtContentLocked"/>
              <w:placeholder>
                <w:docPart w:val="GBC22222222222222222222222222222"/>
              </w:placeholder>
            </w:sdtPr>
            <w:sdtEndPr>
              <w:rPr>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p>
      <w:pPr>
        <w:pStyle w:val="76"/>
      </w:pPr>
    </w:p>
    <w:sdt>
      <w:sdtPr>
        <w:rPr>
          <w:rFonts w:hint="eastAsia" w:ascii="宋体" w:hAnsi="宋体" w:cs="宋体"/>
          <w:b w:val="0"/>
          <w:bCs w:val="0"/>
          <w:kern w:val="0"/>
          <w:szCs w:val="24"/>
        </w:rPr>
        <w:alias w:val="模块:按照套期类别披露套期及相关套期工具、被套期风险的相关的定性定"/>
        <w:tag w:val="_GBC_e37f7bfcfa2f4a9e92bdd5e8593a6fd8"/>
        <w:id w:val="25155735"/>
        <w:lock w:val="sdtLocked"/>
        <w:placeholder>
          <w:docPart w:val="GBC22222222222222222222222222222"/>
        </w:placeholder>
      </w:sdtPr>
      <w:sdtEndPr>
        <w:rPr>
          <w:rFonts w:hint="default" w:ascii="宋体" w:hAnsi="宋体" w:cs="宋体"/>
          <w:b w:val="0"/>
          <w:bCs w:val="0"/>
          <w:kern w:val="0"/>
          <w:szCs w:val="24"/>
        </w:rPr>
      </w:sdtEndPr>
      <w:sdtContent>
        <w:p>
          <w:pPr>
            <w:pStyle w:val="79"/>
            <w:numPr>
              <w:ilvl w:val="0"/>
              <w:numId w:val="46"/>
            </w:numPr>
            <w:tabs>
              <w:tab w:val="left" w:pos="504"/>
            </w:tabs>
            <w:rPr>
              <w:rFonts w:ascii="宋体" w:hAnsi="宋体" w:cs="宋体"/>
              <w:bCs w:val="0"/>
              <w:kern w:val="0"/>
              <w:szCs w:val="24"/>
            </w:rPr>
          </w:pPr>
          <w:r>
            <w:rPr>
              <w:rFonts w:hint="eastAsia" w:ascii="宋体" w:hAnsi="宋体" w:cs="宋体"/>
              <w:bCs w:val="0"/>
              <w:kern w:val="0"/>
              <w:szCs w:val="24"/>
            </w:rPr>
            <w:t>套期</w:t>
          </w:r>
        </w:p>
        <w:sdt>
          <w:sdtPr>
            <w:alias w:val="是否适用：套期[双击切换]"/>
            <w:tag w:val="_GBC_bca8fe779ada470c87241e7b3e12387a"/>
            <w:id w:val="2515573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pPr>
    </w:p>
    <w:sdt>
      <w:sdtPr>
        <w:rPr>
          <w:rFonts w:hint="eastAsia" w:ascii="宋体" w:hAnsi="宋体" w:cs="宋体"/>
          <w:b w:val="0"/>
          <w:bCs w:val="0"/>
          <w:kern w:val="0"/>
          <w:szCs w:val="24"/>
        </w:rPr>
        <w:alias w:val="模块:政府补助"/>
        <w:tag w:val="_SEC_8b247fe8025b433290c47017eb23d965"/>
        <w:id w:val="25155748"/>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46"/>
            </w:numPr>
            <w:tabs>
              <w:tab w:val="left" w:pos="504"/>
            </w:tabs>
          </w:pPr>
          <w:r>
            <w:rPr>
              <w:rFonts w:hint="eastAsia"/>
            </w:rPr>
            <w:t>政府</w:t>
          </w:r>
          <w:r>
            <w:rPr>
              <w:rFonts w:hint="eastAsia" w:ascii="宋体" w:hAnsi="宋体" w:cs="宋体"/>
              <w:bCs w:val="0"/>
              <w:kern w:val="0"/>
              <w:szCs w:val="24"/>
            </w:rPr>
            <w:t>补助</w:t>
          </w:r>
        </w:p>
        <w:p>
          <w:pPr>
            <w:pStyle w:val="80"/>
            <w:numPr>
              <w:ilvl w:val="0"/>
              <w:numId w:val="76"/>
            </w:numPr>
          </w:pPr>
          <w:r>
            <w:rPr>
              <w:rFonts w:hint="eastAsia"/>
            </w:rPr>
            <w:t>政府补助基本情况</w:t>
          </w:r>
        </w:p>
        <w:sdt>
          <w:sdtPr>
            <w:rPr>
              <w:rFonts w:hint="eastAsia"/>
            </w:rPr>
            <w:alias w:val="是否适用：政府补助基本情况[双击切换]"/>
            <w:tag w:val="_GBC_8a025998848a4a4d930f199d57736e15"/>
            <w:id w:val="25155736"/>
            <w:lock w:val="sdtContentLocked"/>
            <w:placeholder>
              <w:docPart w:val="GBC22222222222222222222222222222"/>
            </w:placeholder>
          </w:sdtPr>
          <w:sdtEndPr>
            <w:rPr>
              <w:rFonts w:hint="eastAsia"/>
            </w:rPr>
          </w:sdtEnd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政府补助基本情况"/>
              <w:tag w:val="_GBC_49d8ad9a78444187ab5ec6859fc38653"/>
              <w:id w:val="251557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25155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7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1866"/>
            <w:gridCol w:w="2262"/>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20198135e9724233ad4bece3169fd38a"/>
                <w:id w:val="25155739"/>
                <w:lock w:val="sdtLocked"/>
              </w:sdtPr>
              <w:sdtContent>
                <w:tc>
                  <w:tcPr>
                    <w:tcW w:w="2661" w:type="dxa"/>
                    <w:vAlign w:val="center"/>
                  </w:tcPr>
                  <w:p>
                    <w:pPr>
                      <w:pStyle w:val="76"/>
                      <w:widowControl w:val="0"/>
                      <w:jc w:val="center"/>
                    </w:pPr>
                    <w:r>
                      <w:rPr>
                        <w:rFonts w:hint="eastAsia"/>
                      </w:rPr>
                      <w:t>种类</w:t>
                    </w:r>
                  </w:p>
                </w:tc>
              </w:sdtContent>
            </w:sdt>
            <w:sdt>
              <w:sdtPr>
                <w:tag w:val="_PLD_50674c48b51140b28f91e26b50ec3ca3"/>
                <w:id w:val="25155740"/>
                <w:lock w:val="sdtLocked"/>
              </w:sdtPr>
              <w:sdtContent>
                <w:tc>
                  <w:tcPr>
                    <w:tcW w:w="1866" w:type="dxa"/>
                    <w:vAlign w:val="center"/>
                  </w:tcPr>
                  <w:p>
                    <w:pPr>
                      <w:pStyle w:val="76"/>
                      <w:widowControl w:val="0"/>
                      <w:jc w:val="center"/>
                    </w:pPr>
                    <w:r>
                      <w:rPr>
                        <w:rFonts w:hint="eastAsia"/>
                      </w:rPr>
                      <w:t>金额</w:t>
                    </w:r>
                  </w:p>
                </w:tc>
              </w:sdtContent>
            </w:sdt>
            <w:sdt>
              <w:sdtPr>
                <w:tag w:val="_PLD_89c889fd1e0e48039263b92a213ea66d"/>
                <w:id w:val="25155741"/>
                <w:lock w:val="sdtLocked"/>
              </w:sdtPr>
              <w:sdtContent>
                <w:tc>
                  <w:tcPr>
                    <w:tcW w:w="2262" w:type="dxa"/>
                    <w:vAlign w:val="center"/>
                  </w:tcPr>
                  <w:p>
                    <w:pPr>
                      <w:pStyle w:val="76"/>
                      <w:widowControl w:val="0"/>
                      <w:jc w:val="center"/>
                    </w:pPr>
                    <w:r>
                      <w:rPr>
                        <w:rFonts w:hint="eastAsia"/>
                      </w:rPr>
                      <w:t>列报项目</w:t>
                    </w:r>
                  </w:p>
                </w:tc>
              </w:sdtContent>
            </w:sdt>
            <w:sdt>
              <w:sdtPr>
                <w:tag w:val="_PLD_edddb4c4d0cf4f88861cbb3e2b5c9ca7"/>
                <w:id w:val="25155742"/>
                <w:lock w:val="sdtLocked"/>
              </w:sdtPr>
              <w:sdtContent>
                <w:tc>
                  <w:tcPr>
                    <w:tcW w:w="2260" w:type="dxa"/>
                    <w:vAlign w:val="center"/>
                  </w:tcPr>
                  <w:p>
                    <w:pPr>
                      <w:pStyle w:val="76"/>
                      <w:widowControl w:val="0"/>
                      <w:jc w:val="center"/>
                    </w:pPr>
                    <w:r>
                      <w:rPr>
                        <w:rFonts w:hint="eastAsia"/>
                      </w:rPr>
                      <w:t>计入当期损益的金额</w:t>
                    </w:r>
                  </w:p>
                </w:tc>
              </w:sdtContent>
            </w:sdt>
          </w:tr>
          <w:sdt>
            <w:sdtPr>
              <w:rPr>
                <w:rFonts w:hint="eastAsia" w:asciiTheme="minorHAnsi" w:hAnsiTheme="minorHAnsi" w:eastAsiaTheme="minorEastAsia" w:cstheme="minorBidi"/>
                <w:kern w:val="2"/>
                <w:szCs w:val="22"/>
              </w:rPr>
              <w:alias w:val="政府补助基本情况明细"/>
              <w:tag w:val="_TUP_6721ef78150942db8758c3d102513424"/>
              <w:id w:val="25155743"/>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61" w:type="dxa"/>
                  </w:tcPr>
                  <w:p>
                    <w:pPr>
                      <w:pStyle w:val="76"/>
                      <w:widowControl w:val="0"/>
                      <w:jc w:val="left"/>
                    </w:pPr>
                    <w:r>
                      <w:t>与收益相关的政府补助</w:t>
                    </w:r>
                  </w:p>
                </w:tc>
                <w:tc>
                  <w:tcPr>
                    <w:tcW w:w="1866" w:type="dxa"/>
                  </w:tcPr>
                  <w:p>
                    <w:pPr>
                      <w:pStyle w:val="76"/>
                      <w:widowControl w:val="0"/>
                      <w:jc w:val="right"/>
                    </w:pPr>
                    <w:r>
                      <w:t>7,647,007.76</w:t>
                    </w:r>
                  </w:p>
                </w:tc>
                <w:tc>
                  <w:tcPr>
                    <w:tcW w:w="2262" w:type="dxa"/>
                  </w:tcPr>
                  <w:p>
                    <w:pPr>
                      <w:pStyle w:val="76"/>
                      <w:widowControl w:val="0"/>
                      <w:jc w:val="left"/>
                    </w:pPr>
                    <w:r>
                      <w:t>其他收益</w:t>
                    </w:r>
                  </w:p>
                </w:tc>
                <w:tc>
                  <w:tcPr>
                    <w:tcW w:w="2260" w:type="dxa"/>
                  </w:tcPr>
                  <w:p>
                    <w:pPr>
                      <w:pStyle w:val="76"/>
                      <w:widowControl w:val="0"/>
                      <w:jc w:val="right"/>
                    </w:pPr>
                    <w:r>
                      <w:t>7,647,007.76</w:t>
                    </w:r>
                  </w:p>
                </w:tc>
              </w:tr>
            </w:sdtContent>
          </w:sdt>
          <w:sdt>
            <w:sdtPr>
              <w:rPr>
                <w:rFonts w:hint="eastAsia" w:asciiTheme="minorHAnsi" w:hAnsiTheme="minorHAnsi" w:eastAsiaTheme="minorEastAsia" w:cstheme="minorBidi"/>
                <w:kern w:val="2"/>
                <w:szCs w:val="22"/>
              </w:rPr>
              <w:alias w:val="政府补助基本情况明细"/>
              <w:tag w:val="_TUP_6721ef78150942db8758c3d102513424"/>
              <w:id w:val="25155744"/>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61" w:type="dxa"/>
                  </w:tcPr>
                  <w:p>
                    <w:pPr>
                      <w:pStyle w:val="76"/>
                      <w:widowControl w:val="0"/>
                      <w:jc w:val="left"/>
                    </w:pPr>
                    <w:r>
                      <w:t>与收益相关的政府补助</w:t>
                    </w:r>
                  </w:p>
                </w:tc>
                <w:tc>
                  <w:tcPr>
                    <w:tcW w:w="1866" w:type="dxa"/>
                  </w:tcPr>
                  <w:p>
                    <w:pPr>
                      <w:pStyle w:val="76"/>
                      <w:widowControl w:val="0"/>
                      <w:jc w:val="right"/>
                    </w:pPr>
                    <w:r>
                      <w:t>286,500</w:t>
                    </w:r>
                    <w:r>
                      <w:rPr>
                        <w:rFonts w:hint="eastAsia"/>
                      </w:rPr>
                      <w:t>.00</w:t>
                    </w:r>
                  </w:p>
                </w:tc>
                <w:tc>
                  <w:tcPr>
                    <w:tcW w:w="2262" w:type="dxa"/>
                  </w:tcPr>
                  <w:p>
                    <w:pPr>
                      <w:pStyle w:val="76"/>
                      <w:widowControl w:val="0"/>
                      <w:jc w:val="left"/>
                    </w:pPr>
                    <w:r>
                      <w:t>营业外收入</w:t>
                    </w:r>
                  </w:p>
                </w:tc>
                <w:tc>
                  <w:tcPr>
                    <w:tcW w:w="2260" w:type="dxa"/>
                  </w:tcPr>
                  <w:p>
                    <w:pPr>
                      <w:pStyle w:val="76"/>
                      <w:widowControl w:val="0"/>
                      <w:jc w:val="right"/>
                    </w:pPr>
                    <w:r>
                      <w:t>286,500</w:t>
                    </w:r>
                    <w:r>
                      <w:rPr>
                        <w:rFonts w:hint="eastAsia"/>
                      </w:rPr>
                      <w:t>.00</w:t>
                    </w:r>
                  </w:p>
                </w:tc>
              </w:tr>
            </w:sdtContent>
          </w:sdt>
          <w:sdt>
            <w:sdtPr>
              <w:rPr>
                <w:rFonts w:hint="eastAsia" w:asciiTheme="minorHAnsi" w:hAnsiTheme="minorHAnsi" w:eastAsiaTheme="minorEastAsia" w:cstheme="minorBidi"/>
                <w:kern w:val="2"/>
                <w:szCs w:val="22"/>
              </w:rPr>
              <w:alias w:val="政府补助基本情况明细"/>
              <w:tag w:val="_TUP_6721ef78150942db8758c3d102513424"/>
              <w:id w:val="25155745"/>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Pr>
                  <w:p>
                    <w:pPr>
                      <w:pStyle w:val="76"/>
                      <w:widowControl w:val="0"/>
                      <w:jc w:val="left"/>
                    </w:pPr>
                    <w:r>
                      <w:t>与资产相关的政府补助</w:t>
                    </w:r>
                  </w:p>
                </w:tc>
                <w:tc>
                  <w:tcPr>
                    <w:tcW w:w="1866" w:type="dxa"/>
                  </w:tcPr>
                  <w:p>
                    <w:pPr>
                      <w:pStyle w:val="76"/>
                      <w:widowControl w:val="0"/>
                      <w:jc w:val="right"/>
                    </w:pPr>
                    <w:r>
                      <w:t>4,779,202.12</w:t>
                    </w:r>
                  </w:p>
                </w:tc>
                <w:tc>
                  <w:tcPr>
                    <w:tcW w:w="2262" w:type="dxa"/>
                  </w:tcPr>
                  <w:p>
                    <w:pPr>
                      <w:pStyle w:val="76"/>
                      <w:widowControl w:val="0"/>
                      <w:jc w:val="left"/>
                    </w:pPr>
                    <w:r>
                      <w:t>其他收益</w:t>
                    </w:r>
                  </w:p>
                </w:tc>
                <w:tc>
                  <w:tcPr>
                    <w:tcW w:w="2260" w:type="dxa"/>
                  </w:tcPr>
                  <w:p>
                    <w:pPr>
                      <w:pStyle w:val="76"/>
                      <w:widowControl w:val="0"/>
                      <w:jc w:val="right"/>
                    </w:pPr>
                    <w:r>
                      <w:t>4,779,202.12</w:t>
                    </w:r>
                  </w:p>
                </w:tc>
              </w:tr>
            </w:sdtContent>
          </w:sdt>
        </w:tbl>
        <w:p>
          <w:pPr>
            <w:pStyle w:val="76"/>
          </w:pPr>
        </w:p>
        <w:p>
          <w:pPr>
            <w:pStyle w:val="80"/>
            <w:numPr>
              <w:ilvl w:val="0"/>
              <w:numId w:val="76"/>
            </w:numPr>
          </w:pPr>
          <w:r>
            <w:rPr>
              <w:rFonts w:hint="eastAsia"/>
            </w:rPr>
            <w:t>政府补助退回情况</w:t>
          </w:r>
        </w:p>
        <w:sdt>
          <w:sdtPr>
            <w:alias w:val="是否适用：政府补助退回情况[双击切换]"/>
            <w:tag w:val="_GBC_d6d1c427ffcb427184f1234527bb5b16"/>
            <w:id w:val="2515574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ascii="宋体" w:hAnsi="宋体" w:cs="宋体"/>
          <w:b w:val="0"/>
          <w:bCs w:val="0"/>
          <w:kern w:val="0"/>
          <w:szCs w:val="24"/>
        </w:rPr>
        <w:alias w:val="模块:合并财务报表项目注释其他需要说明的事项"/>
        <w:tag w:val="_GBC_f027b70d30154df58ffdc310123f3e1f"/>
        <w:id w:val="25155750"/>
        <w:lock w:val="sdtLocked"/>
        <w:placeholder>
          <w:docPart w:val="GBC22222222222222222222222222222"/>
        </w:placeholder>
      </w:sdtPr>
      <w:sdtEndPr>
        <w:rPr>
          <w:rFonts w:ascii="宋体" w:hAnsi="宋体" w:cs="宋体"/>
          <w:b w:val="0"/>
          <w:bCs w:val="0"/>
          <w:kern w:val="0"/>
          <w:szCs w:val="24"/>
        </w:rPr>
      </w:sdtEndPr>
      <w:sdtContent>
        <w:p>
          <w:pPr>
            <w:pStyle w:val="79"/>
            <w:numPr>
              <w:ilvl w:val="0"/>
              <w:numId w:val="46"/>
            </w:numPr>
            <w:tabs>
              <w:tab w:val="left" w:pos="504"/>
            </w:tabs>
          </w:pPr>
          <w:r>
            <w:rPr>
              <w:rFonts w:hint="eastAsia"/>
            </w:rPr>
            <w:t>其他</w:t>
          </w:r>
        </w:p>
        <w:sdt>
          <w:sdtPr>
            <w:alias w:val="是否适用：合并财务报表项目注释其他需要说明的事项[双击切换]"/>
            <w:tag w:val="_GBC_d9335575f6594653aa8718dc633c644c"/>
            <w:id w:val="2515574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8"/>
        <w:numPr>
          <w:ilvl w:val="0"/>
          <w:numId w:val="34"/>
        </w:numPr>
      </w:pPr>
      <w:r>
        <w:rPr>
          <w:rFonts w:hint="eastAsia"/>
        </w:rPr>
        <w:t>合并范围的变更</w:t>
      </w:r>
    </w:p>
    <w:p>
      <w:pPr>
        <w:pStyle w:val="79"/>
        <w:numPr>
          <w:ilvl w:val="0"/>
          <w:numId w:val="77"/>
        </w:numPr>
        <w:rPr>
          <w:rFonts w:ascii="宋体" w:hAnsi="宋体" w:cs="Arial"/>
          <w:szCs w:val="21"/>
        </w:rPr>
      </w:pPr>
      <w:r>
        <w:rPr>
          <w:rFonts w:hint="eastAsia" w:ascii="宋体" w:hAnsi="宋体" w:cs="Arial"/>
          <w:szCs w:val="21"/>
        </w:rPr>
        <w:t>非同一控制下企业合并</w:t>
      </w:r>
    </w:p>
    <w:sdt>
      <w:sdtPr>
        <w:alias w:val="是否适用：非同一控制下企业合并[双击切换]"/>
        <w:tag w:val="_GBC_2f9a65b0b4644b14ab5af1407e6467f1"/>
        <w:id w:val="25155751"/>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9"/>
        <w:numPr>
          <w:ilvl w:val="0"/>
          <w:numId w:val="77"/>
        </w:numPr>
        <w:rPr>
          <w:rFonts w:ascii="宋体" w:hAnsi="宋体" w:cs="Arial"/>
          <w:szCs w:val="21"/>
        </w:rPr>
      </w:pPr>
      <w:r>
        <w:rPr>
          <w:rFonts w:hint="eastAsia" w:ascii="宋体" w:hAnsi="宋体" w:cs="Arial"/>
          <w:szCs w:val="21"/>
        </w:rPr>
        <w:t>同一控制下企业合并</w:t>
      </w:r>
    </w:p>
    <w:sdt>
      <w:sdtPr>
        <w:alias w:val="是否适用：同一控制下企业合并[双击切换]"/>
        <w:tag w:val="_GBC_cde296136a1d4f2094eb79d21291eae2"/>
        <w:id w:val="25155752"/>
        <w:lock w:val="sdtContentLocked"/>
        <w:placeholder>
          <w:docPart w:val="GBC22222222222222222222222222222"/>
        </w:placeholder>
      </w:sdtPr>
      <w:sdtContent>
        <w:p>
          <w:pPr>
            <w:pStyle w:val="76"/>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
      <w:sdtPr>
        <w:rPr>
          <w:rFonts w:hint="eastAsia" w:ascii="宋体" w:hAnsi="宋体" w:cs="Arial"/>
          <w:b w:val="0"/>
          <w:bCs w:val="0"/>
          <w:kern w:val="0"/>
          <w:szCs w:val="21"/>
        </w:rPr>
        <w:alias w:val="模块:反向购买"/>
        <w:tag w:val="_SEC_e0818786830d42ce99957d3ef113691a"/>
        <w:id w:val="25155754"/>
        <w:lock w:val="sdtLocked"/>
        <w:placeholder>
          <w:docPart w:val="GBC22222222222222222222222222222"/>
        </w:placeholder>
      </w:sdtPr>
      <w:sdtEndPr>
        <w:rPr>
          <w:rFonts w:hint="default" w:ascii="宋体" w:hAnsi="宋体" w:cs="Arial"/>
          <w:b w:val="0"/>
          <w:bCs w:val="0"/>
          <w:kern w:val="0"/>
          <w:szCs w:val="21"/>
        </w:rPr>
      </w:sdtEndPr>
      <w:sdtContent>
        <w:p>
          <w:pPr>
            <w:pStyle w:val="79"/>
            <w:numPr>
              <w:ilvl w:val="0"/>
              <w:numId w:val="77"/>
            </w:numPr>
            <w:rPr>
              <w:rFonts w:ascii="宋体" w:hAnsi="宋体" w:cs="Arial"/>
              <w:szCs w:val="21"/>
            </w:rPr>
          </w:pPr>
          <w:r>
            <w:rPr>
              <w:rFonts w:hint="eastAsia" w:ascii="宋体" w:hAnsi="宋体" w:cs="Arial"/>
              <w:szCs w:val="21"/>
            </w:rPr>
            <w:t>反向购买</w:t>
          </w:r>
        </w:p>
        <w:sdt>
          <w:sdtPr>
            <w:alias w:val="是否适用：反向购买[双击切换]"/>
            <w:tag w:val="_GBC_973cde3cea5d460790de47cc49169bde"/>
            <w:id w:val="2515575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color w:val="808080"/>
          <w:szCs w:val="21"/>
          <w:lang w:val="en-GB"/>
        </w:rPr>
        <w:sectPr>
          <w:pgSz w:w="11906" w:h="16838"/>
          <w:pgMar w:top="1525" w:right="1276" w:bottom="1440" w:left="1797" w:header="856" w:footer="992" w:gutter="0"/>
          <w:cols w:space="425" w:num="1"/>
          <w:docGrid w:type="lines" w:linePitch="312" w:charSpace="0"/>
        </w:sectPr>
      </w:pPr>
    </w:p>
    <w:sdt>
      <w:sdtPr>
        <w:rPr>
          <w:rFonts w:hint="eastAsia" w:ascii="宋体" w:hAnsi="宋体" w:cs="Arial"/>
          <w:b w:val="0"/>
          <w:bCs w:val="0"/>
          <w:kern w:val="0"/>
          <w:szCs w:val="21"/>
        </w:rPr>
        <w:alias w:val="模块:处置子公司"/>
        <w:tag w:val="_GBC_cc6d41993eca4369a3cdb3c33d4f3299"/>
        <w:id w:val="25155757"/>
        <w:lock w:val="sdtLocked"/>
        <w:placeholder>
          <w:docPart w:val="GBC22222222222222222222222222222"/>
        </w:placeholder>
      </w:sdtPr>
      <w:sdtEndPr>
        <w:rPr>
          <w:rFonts w:hint="eastAsia" w:ascii="宋体" w:hAnsi="宋体" w:cs="宋体"/>
          <w:b w:val="0"/>
          <w:bCs w:val="0"/>
          <w:color w:val="000000"/>
          <w:kern w:val="0"/>
          <w:szCs w:val="21"/>
        </w:rPr>
      </w:sdtEndPr>
      <w:sdtContent>
        <w:p>
          <w:pPr>
            <w:pStyle w:val="79"/>
            <w:numPr>
              <w:ilvl w:val="0"/>
              <w:numId w:val="77"/>
            </w:numPr>
            <w:rPr>
              <w:rFonts w:ascii="宋体" w:hAnsi="宋体" w:cs="Arial"/>
              <w:szCs w:val="21"/>
            </w:rPr>
          </w:pPr>
          <w:r>
            <w:rPr>
              <w:rFonts w:hint="eastAsia" w:ascii="宋体" w:hAnsi="宋体" w:cs="Arial"/>
              <w:szCs w:val="21"/>
            </w:rPr>
            <w:t>处置子公司</w:t>
          </w:r>
        </w:p>
        <w:p>
          <w:pPr>
            <w:pStyle w:val="76"/>
          </w:pPr>
          <w:r>
            <w:rPr>
              <w:rFonts w:hint="eastAsia"/>
            </w:rPr>
            <w:t>是否存在单次处置</w:t>
          </w:r>
          <w:r>
            <w:t>对子公司投资即丧失控制权的情形</w:t>
          </w:r>
        </w:p>
        <w:sdt>
          <w:sdtPr>
            <w:rPr>
              <w:rFonts w:hint="eastAsia" w:cs="Arial"/>
              <w:szCs w:val="21"/>
            </w:rPr>
            <w:alias w:val="是否存在单次交易处置对子公司投资即丧失控制权的情形[双击切换]"/>
            <w:tag w:val="_GBC_a2b81d1c138141d5bea164d8b7f9ce19"/>
            <w:id w:val="25155755"/>
            <w:lock w:val="sdtContentLocked"/>
            <w:placeholder>
              <w:docPart w:val="GBC22222222222222222222222222222"/>
            </w:placeholder>
          </w:sdtPr>
          <w:sdtEndPr>
            <w:rPr>
              <w:rFonts w:hint="eastAsia" w:cs="Arial"/>
              <w:szCs w:val="21"/>
            </w:rPr>
          </w:sdtEndPr>
          <w:sdtContent>
            <w:p>
              <w:pPr>
                <w:pStyle w:val="76"/>
                <w:rPr>
                  <w:rFonts w:cs="Arial"/>
                  <w:color w:val="000000"/>
                  <w:szCs w:val="21"/>
                </w:rPr>
              </w:pPr>
              <w:r>
                <w:rPr>
                  <w:rFonts w:cs="Arial"/>
                  <w:szCs w:val="21"/>
                </w:rPr>
                <w:fldChar w:fldCharType="begin"/>
              </w:r>
              <w:r>
                <w:rPr>
                  <w:rFonts w:cs="Arial"/>
                  <w:szCs w:val="21"/>
                </w:rPr>
                <w:instrText xml:space="preserve">MACROBUTTON  SnrToggleCheckbox □适用</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pStyle w:val="76"/>
            <w:rPr>
              <w:rFonts w:cs="Arial"/>
              <w:color w:val="000000"/>
              <w:szCs w:val="21"/>
            </w:rPr>
          </w:pPr>
          <w:r>
            <w:rPr>
              <w:rFonts w:hint="eastAsia" w:cs="Arial"/>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25155756"/>
            <w:lock w:val="sdtContentLocked"/>
            <w:placeholder>
              <w:docPart w:val="GBC22222222222222222222222222222"/>
            </w:placeholder>
          </w:sdtPr>
          <w:sdtEndPr>
            <w:rPr>
              <w:rFonts w:cs="Arial"/>
              <w:color w:val="000000"/>
              <w:szCs w:val="21"/>
            </w:rPr>
          </w:sdtEndPr>
          <w:sdtContent>
            <w:p>
              <w:pPr>
                <w:pStyle w:val="76"/>
                <w:rPr>
                  <w:color w:val="000000"/>
                  <w:szCs w:val="21"/>
                </w:rPr>
              </w:pPr>
              <w:r>
                <w:rPr>
                  <w:rFonts w:cs="Arial"/>
                  <w:color w:val="000000"/>
                  <w:szCs w:val="21"/>
                </w:rPr>
                <w:fldChar w:fldCharType="begin"/>
              </w:r>
              <w:r>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sdtContent>
    </w:sdt>
    <w:p>
      <w:pPr>
        <w:pStyle w:val="76"/>
        <w:rPr>
          <w:rFonts w:cs="Arial"/>
          <w:color w:val="000000"/>
          <w:szCs w:val="21"/>
        </w:rPr>
      </w:pPr>
    </w:p>
    <w:sdt>
      <w:sdtPr>
        <w:rPr>
          <w:rFonts w:hint="eastAsia" w:ascii="Times New Roman" w:hAnsi="Times New Roman" w:cs="Arial"/>
          <w:kern w:val="2"/>
          <w:sz w:val="20"/>
          <w:szCs w:val="21"/>
        </w:rPr>
        <w:alias w:val="模块:是否存在通过多次交易分步处置对子公司投资且在本期丧失控制权的"/>
        <w:tag w:val="_GBC_4d8df8ad82924ee296922a66106c2fad"/>
        <w:id w:val="25155759"/>
        <w:lock w:val="sdtLocked"/>
        <w:placeholder>
          <w:docPart w:val="GBC22222222222222222222222222222"/>
        </w:placeholder>
      </w:sdtPr>
      <w:sdtEndPr>
        <w:rPr>
          <w:rFonts w:hint="default" w:ascii="Times New Roman" w:hAnsi="Times New Roman" w:cs="Times New Roman"/>
          <w:color w:val="000000"/>
          <w:kern w:val="2"/>
          <w:sz w:val="20"/>
          <w:szCs w:val="21"/>
        </w:rPr>
      </w:sdtEndPr>
      <w:sdtContent>
        <w:p>
          <w:pPr>
            <w:pStyle w:val="76"/>
            <w:rPr>
              <w:rFonts w:cs="Arial"/>
              <w:szCs w:val="21"/>
            </w:rPr>
          </w:pPr>
          <w:r>
            <w:rPr>
              <w:rFonts w:hint="eastAsia" w:cs="Arial"/>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25155758"/>
            <w:lock w:val="sdtContentLocked"/>
            <w:placeholder>
              <w:docPart w:val="GBC22222222222222222222222222222"/>
            </w:placeholder>
          </w:sdtPr>
          <w:sdtEndPr>
            <w:rPr>
              <w:rFonts w:hint="eastAsia"/>
            </w:rPr>
          </w:sdtEndPr>
          <w:sdtContent>
            <w:p>
              <w:pPr>
                <w:pStyle w:val="88"/>
                <w:rPr>
                  <w:color w:val="000000"/>
                </w:rPr>
              </w:pPr>
              <w:r>
                <w:rPr>
                  <w:color w:val="000000"/>
                </w:rPr>
                <w:fldChar w:fldCharType="begin"/>
              </w:r>
              <w:r>
                <w:rPr>
                  <w:rFonts w:hint="eastAsia"/>
                  <w:color w:val="000000"/>
                </w:rPr>
                <w:instrText xml:space="preserve">MACROBUTTON  SnrToggleCheckbox □适用</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pPr>
            <w:pStyle w:val="88"/>
            <w:rPr>
              <w:rFonts w:cs="Arial" w:asciiTheme="minorHAnsi" w:hAnsiTheme="minorHAnsi" w:eastAsiaTheme="minorEastAsia"/>
              <w:color w:val="000000"/>
            </w:rPr>
          </w:pPr>
        </w:p>
      </w:sdtContent>
    </w:sdt>
    <w:sdt>
      <w:sdtPr>
        <w:rPr>
          <w:rFonts w:hint="eastAsia" w:cs="Arial" w:asciiTheme="minorHAnsi" w:hAnsiTheme="minorHAnsi" w:eastAsiaTheme="minorEastAsia"/>
          <w:b w:val="0"/>
          <w:bCs w:val="0"/>
          <w:color w:val="000000"/>
          <w:kern w:val="0"/>
          <w:szCs w:val="24"/>
        </w:rPr>
        <w:alias w:val="模块:其他原因的合并范围变动"/>
        <w:tag w:val="_GBC_c61d869cb31c439992bb2118c8eaac1e"/>
        <w:id w:val="25155761"/>
        <w:lock w:val="sdtLocked"/>
        <w:placeholder>
          <w:docPart w:val="GBC22222222222222222222222222222"/>
        </w:placeholder>
      </w:sdtPr>
      <w:sdtEndPr>
        <w:rPr>
          <w:rFonts w:hint="eastAsia" w:cs="Arial" w:asciiTheme="minorHAnsi" w:hAnsiTheme="minorHAnsi" w:eastAsiaTheme="minorEastAsia"/>
          <w:b w:val="0"/>
          <w:bCs w:val="0"/>
          <w:color w:val="000000"/>
          <w:kern w:val="0"/>
          <w:szCs w:val="24"/>
        </w:rPr>
      </w:sdtEndPr>
      <w:sdtContent>
        <w:p>
          <w:pPr>
            <w:pStyle w:val="79"/>
            <w:numPr>
              <w:ilvl w:val="0"/>
              <w:numId w:val="77"/>
            </w:numPr>
            <w:rPr>
              <w:rFonts w:cs="Arial" w:asciiTheme="minorHAnsi" w:hAnsiTheme="minorHAnsi" w:eastAsiaTheme="minorEastAsia"/>
              <w:color w:val="000000"/>
            </w:rPr>
          </w:pPr>
          <w:r>
            <w:rPr>
              <w:rFonts w:hint="eastAsia" w:cs="Arial" w:asciiTheme="minorHAnsi" w:hAnsiTheme="minorHAnsi" w:eastAsiaTheme="minorEastAsia"/>
              <w:color w:val="000000"/>
            </w:rPr>
            <w:t>其他原因的合并范围变动</w:t>
          </w:r>
        </w:p>
        <w:p>
          <w:pPr>
            <w:pStyle w:val="76"/>
          </w:pPr>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5155760"/>
            <w:lock w:val="sdtContentLocked"/>
            <w:placeholder>
              <w:docPart w:val="GBC22222222222222222222222222222"/>
            </w:placeholder>
          </w:sdtPr>
          <w:sdtContent>
            <w:p>
              <w:pPr>
                <w:pStyle w:val="76"/>
                <w:rPr>
                  <w:rFonts w:cs="Arial" w:asciiTheme="minorHAnsi" w:hAnsiTheme="minorHAnsi" w:eastAsiaTheme="minorEastAsia"/>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cs="Arial" w:asciiTheme="minorHAnsi" w:hAnsiTheme="minorHAnsi" w:eastAsiaTheme="minorEastAsia"/>
          <w:color w:val="000000"/>
        </w:rPr>
      </w:pPr>
    </w:p>
    <w:sdt>
      <w:sdtPr>
        <w:rPr>
          <w:rFonts w:hint="eastAsia" w:cs="Arial" w:asciiTheme="minorHAnsi" w:hAnsiTheme="minorHAnsi" w:eastAsiaTheme="minorEastAsia"/>
          <w:b w:val="0"/>
          <w:bCs w:val="0"/>
          <w:color w:val="000000"/>
          <w:kern w:val="0"/>
          <w:szCs w:val="24"/>
        </w:rPr>
        <w:alias w:val="模块:同一控制下企业合并其他"/>
        <w:tag w:val="_GBC_8ddcb59af8af49d295c61727d65b8301"/>
        <w:id w:val="25155763"/>
        <w:lock w:val="sdtLocked"/>
        <w:placeholder>
          <w:docPart w:val="GBC22222222222222222222222222222"/>
        </w:placeholder>
      </w:sdtPr>
      <w:sdtEndPr>
        <w:rPr>
          <w:rFonts w:hint="eastAsia" w:cs="Arial" w:asciiTheme="minorHAnsi" w:hAnsiTheme="minorHAnsi" w:eastAsiaTheme="minorEastAsia"/>
          <w:b w:val="0"/>
          <w:bCs w:val="0"/>
          <w:color w:val="000000"/>
          <w:kern w:val="0"/>
          <w:szCs w:val="24"/>
        </w:rPr>
      </w:sdtEndPr>
      <w:sdtContent>
        <w:p>
          <w:pPr>
            <w:pStyle w:val="79"/>
            <w:numPr>
              <w:ilvl w:val="0"/>
              <w:numId w:val="77"/>
            </w:numPr>
            <w:rPr>
              <w:rFonts w:ascii="宋体" w:hAnsi="宋体" w:cs="Arial"/>
              <w:color w:val="000000"/>
            </w:rPr>
          </w:pPr>
          <w:r>
            <w:rPr>
              <w:rFonts w:hint="eastAsia" w:ascii="宋体" w:hAnsi="宋体" w:cs="Arial"/>
              <w:color w:val="000000"/>
            </w:rPr>
            <w:t>其他</w:t>
          </w:r>
        </w:p>
        <w:sdt>
          <w:sdtPr>
            <w:alias w:val="是否适用：合并范围的变更-其他说明[双击切换]"/>
            <w:tag w:val="_GBC_cca0ea12df6c44878cdcbeced06ed993"/>
            <w:id w:val="25155762"/>
            <w:lock w:val="sdtContentLocked"/>
            <w:placeholder>
              <w:docPart w:val="GBC22222222222222222222222222222"/>
            </w:placeholder>
          </w:sdtPr>
          <w:sdtContent>
            <w:p>
              <w:pPr>
                <w:pStyle w:val="76"/>
                <w:rPr>
                  <w:rFonts w:cs="Arial" w:asciiTheme="minorHAnsi" w:hAnsiTheme="minorHAnsi" w:eastAsiaTheme="minorEastAsia"/>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8"/>
        <w:numPr>
          <w:ilvl w:val="0"/>
          <w:numId w:val="34"/>
        </w:numPr>
        <w:rPr>
          <w:rFonts w:ascii="宋体" w:hAnsi="宋体"/>
        </w:rPr>
      </w:pPr>
      <w:r>
        <w:rPr>
          <w:rFonts w:hint="eastAsia" w:ascii="宋体" w:hAnsi="宋体"/>
        </w:rPr>
        <w:t>在</w:t>
      </w:r>
      <w:r>
        <w:rPr>
          <w:rFonts w:hint="eastAsia"/>
        </w:rPr>
        <w:t>其他</w:t>
      </w:r>
      <w:r>
        <w:rPr>
          <w:rFonts w:hint="eastAsia" w:ascii="宋体" w:hAnsi="宋体"/>
        </w:rPr>
        <w:t>主体中的权益</w:t>
      </w:r>
    </w:p>
    <w:p>
      <w:pPr>
        <w:pStyle w:val="79"/>
        <w:numPr>
          <w:ilvl w:val="2"/>
          <w:numId w:val="78"/>
        </w:numPr>
      </w:pPr>
      <w:r>
        <w:rPr>
          <w:rFonts w:hint="eastAsia"/>
        </w:rPr>
        <w:t>在子公司中的权益</w:t>
      </w:r>
    </w:p>
    <w:sdt>
      <w:sdtPr>
        <w:rPr>
          <w:rFonts w:hint="eastAsia" w:ascii="宋体" w:hAnsi="宋体" w:cs="宋体"/>
          <w:b w:val="0"/>
          <w:bCs w:val="0"/>
          <w:kern w:val="0"/>
          <w:szCs w:val="24"/>
        </w:rPr>
        <w:alias w:val="模块:企业集团的构成"/>
        <w:tag w:val="_GBC_47f8b786d9024ebb977349f022d18c1c"/>
        <w:id w:val="25155765"/>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3"/>
              <w:numId w:val="79"/>
            </w:numPr>
            <w:tabs>
              <w:tab w:val="left" w:pos="644"/>
            </w:tabs>
          </w:pPr>
          <w:r>
            <w:rPr>
              <w:rFonts w:hint="eastAsia"/>
            </w:rPr>
            <w:t>企业集团的构成</w:t>
          </w:r>
        </w:p>
        <w:sdt>
          <w:sdtPr>
            <w:alias w:val="是否适用：企业集团的构成[双击切换]"/>
            <w:tag w:val="_GBC_34a27c9c622e483cb4651d6ff3bc0d5a"/>
            <w:id w:val="251557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theme="minorBidi"/>
              <w:szCs w:val="21"/>
            </w:rPr>
          </w:pPr>
        </w:p>
      </w:sdtContent>
    </w:sdt>
    <w:p>
      <w:pPr>
        <w:pStyle w:val="76"/>
        <w:rPr>
          <w:rFonts w:cs="Arial"/>
          <w:szCs w:val="21"/>
        </w:rPr>
      </w:pPr>
    </w:p>
    <w:sdt>
      <w:sdtPr>
        <w:rPr>
          <w:rFonts w:hint="eastAsia" w:ascii="宋体" w:hAnsi="宋体" w:cs="Arial"/>
          <w:b w:val="0"/>
          <w:bCs w:val="0"/>
          <w:kern w:val="0"/>
          <w:szCs w:val="21"/>
        </w:rPr>
        <w:alias w:val="模块:重要的非全资子公司"/>
        <w:tag w:val="_GBC_a2ec6e05ebd34d2fa14b1ba6b3ba8eb1"/>
        <w:id w:val="25155767"/>
        <w:lock w:val="sdtLocked"/>
        <w:placeholder>
          <w:docPart w:val="GBC22222222222222222222222222222"/>
        </w:placeholder>
      </w:sdtPr>
      <w:sdtEndPr>
        <w:rPr>
          <w:rFonts w:hint="default" w:ascii="宋体" w:hAnsi="宋体" w:cs="Arial"/>
          <w:b w:val="0"/>
          <w:bCs w:val="0"/>
          <w:kern w:val="0"/>
          <w:szCs w:val="21"/>
        </w:rPr>
      </w:sdtEndPr>
      <w:sdtContent>
        <w:p>
          <w:pPr>
            <w:pStyle w:val="80"/>
            <w:numPr>
              <w:ilvl w:val="3"/>
              <w:numId w:val="79"/>
            </w:numPr>
            <w:tabs>
              <w:tab w:val="left" w:pos="644"/>
            </w:tabs>
            <w:rPr>
              <w:rFonts w:ascii="宋体" w:hAnsi="宋体" w:cs="Arial"/>
              <w:szCs w:val="21"/>
            </w:rPr>
          </w:pPr>
          <w:r>
            <w:rPr>
              <w:rFonts w:hint="eastAsia" w:ascii="宋体" w:hAnsi="宋体" w:cs="Arial"/>
              <w:szCs w:val="21"/>
            </w:rPr>
            <w:t>重要的非全资子公司</w:t>
          </w:r>
        </w:p>
        <w:sdt>
          <w:sdtPr>
            <w:alias w:val="是否适用：重要的非全资子公司[双击切换]"/>
            <w:tag w:val="_GBC_b83f349d0d754e2d93b12d2112b4c3ec"/>
            <w:id w:val="2515576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szCs w:val="21"/>
        </w:rPr>
      </w:pPr>
    </w:p>
    <w:sdt>
      <w:sdtPr>
        <w:rPr>
          <w:rFonts w:hint="eastAsia" w:ascii="宋体" w:hAnsi="宋体" w:cs="Arial"/>
          <w:b w:val="0"/>
          <w:bCs w:val="0"/>
          <w:kern w:val="0"/>
          <w:szCs w:val="21"/>
        </w:rPr>
        <w:alias w:val="模块:重要非全资子公司的主要财务信息"/>
        <w:tag w:val="_GBC_501222dd8f884fabbdeaec6fe7e79709"/>
        <w:id w:val="25155769"/>
        <w:lock w:val="sdtLocked"/>
        <w:placeholder>
          <w:docPart w:val="GBC22222222222222222222222222222"/>
        </w:placeholder>
      </w:sdtPr>
      <w:sdtEndPr>
        <w:rPr>
          <w:rFonts w:hint="default" w:ascii="宋体" w:hAnsi="宋体" w:cs="Arial"/>
          <w:b w:val="0"/>
          <w:bCs w:val="0"/>
          <w:kern w:val="0"/>
          <w:szCs w:val="21"/>
        </w:rPr>
      </w:sdtEndPr>
      <w:sdtContent>
        <w:p>
          <w:pPr>
            <w:pStyle w:val="80"/>
            <w:numPr>
              <w:ilvl w:val="3"/>
              <w:numId w:val="79"/>
            </w:numPr>
            <w:tabs>
              <w:tab w:val="left" w:pos="644"/>
            </w:tabs>
            <w:rPr>
              <w:rFonts w:ascii="宋体" w:hAnsi="宋体" w:cs="Arial"/>
              <w:szCs w:val="21"/>
            </w:rPr>
          </w:pPr>
          <w:r>
            <w:rPr>
              <w:rFonts w:hint="eastAsia" w:ascii="宋体" w:hAnsi="宋体" w:cs="Arial"/>
              <w:szCs w:val="21"/>
            </w:rPr>
            <w:t>重要非全资子公司的主要财务信息</w:t>
          </w:r>
        </w:p>
        <w:sdt>
          <w:sdtPr>
            <w:alias w:val="是否适用：重要非全资子公司的主要财务信息[双击切换]"/>
            <w:tag w:val="_GBC_c10a7c42e39b4ac9a711e2e9d367799e"/>
            <w:id w:val="251557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szCs w:val="21"/>
        </w:rPr>
      </w:pPr>
    </w:p>
    <w:sdt>
      <w:sdtPr>
        <w:rPr>
          <w:rFonts w:hint="eastAsia" w:ascii="宋体" w:hAnsi="宋体" w:cs="Arial"/>
          <w:b w:val="0"/>
          <w:bCs w:val="0"/>
          <w:kern w:val="0"/>
          <w:szCs w:val="21"/>
        </w:rPr>
        <w:alias w:val="模块:使用企业集团资产和清偿企业集团债务的重大限制"/>
        <w:tag w:val="_GBC_573fe5c9daf0401da00d8fc5198daf66"/>
        <w:id w:val="25155771"/>
        <w:lock w:val="sdtLocked"/>
        <w:placeholder>
          <w:docPart w:val="GBC22222222222222222222222222222"/>
        </w:placeholder>
      </w:sdtPr>
      <w:sdtEndPr>
        <w:rPr>
          <w:rFonts w:hint="eastAsia" w:ascii="宋体" w:hAnsi="宋体" w:cs="Arial"/>
          <w:b/>
          <w:bCs w:val="0"/>
          <w:kern w:val="0"/>
          <w:szCs w:val="21"/>
        </w:rPr>
      </w:sdtEndPr>
      <w:sdtContent>
        <w:p>
          <w:pPr>
            <w:pStyle w:val="80"/>
            <w:numPr>
              <w:ilvl w:val="3"/>
              <w:numId w:val="79"/>
            </w:numPr>
            <w:tabs>
              <w:tab w:val="left" w:pos="644"/>
            </w:tabs>
            <w:rPr>
              <w:rFonts w:ascii="宋体" w:hAnsi="宋体" w:cs="Arial"/>
              <w:szCs w:val="21"/>
            </w:rPr>
          </w:pPr>
          <w:r>
            <w:rPr>
              <w:rFonts w:hint="eastAsia" w:ascii="宋体" w:hAnsi="宋体" w:cs="Arial"/>
              <w:szCs w:val="21"/>
            </w:rPr>
            <w:t>使用企业集团资产和清偿企业集团债务的重大限制：</w:t>
          </w:r>
        </w:p>
        <w:sdt>
          <w:sdtPr>
            <w:alias w:val="是否适用：使用企业集团资产和清偿企业集团债务的重大限制[双击切换]"/>
            <w:tag w:val="_GBC_d4aaeca51c634ffea892b86812441771"/>
            <w:id w:val="25155770"/>
            <w:lock w:val="sdtContentLocked"/>
            <w:placeholder>
              <w:docPart w:val="GBC22222222222222222222222222222"/>
            </w:placeholder>
          </w:sdtPr>
          <w:sdtContent>
            <w:p>
              <w:pPr>
                <w:pStyle w:val="76"/>
                <w:rPr>
                  <w:rFonts w:cs="Arial"/>
                  <w:b/>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cs="Arial"/>
          <w:szCs w:val="21"/>
        </w:rPr>
      </w:pPr>
    </w:p>
    <w:sdt>
      <w:sdtPr>
        <w:rPr>
          <w:rFonts w:hint="eastAsia" w:ascii="宋体" w:hAnsi="宋体" w:cs="Arial"/>
          <w:b w:val="0"/>
          <w:bCs w:val="0"/>
          <w:kern w:val="0"/>
          <w:szCs w:val="21"/>
        </w:rPr>
        <w:alias w:val="模块:向纳入合并财务报表范围的结构化主体提供的财务支持或其他支持"/>
        <w:tag w:val="_GBC_114877d69a2e4b56b15fb618155127e3"/>
        <w:id w:val="25155773"/>
        <w:lock w:val="sdtLocked"/>
        <w:placeholder>
          <w:docPart w:val="GBC22222222222222222222222222222"/>
        </w:placeholder>
      </w:sdtPr>
      <w:sdtEndPr>
        <w:rPr>
          <w:rFonts w:hint="eastAsia" w:ascii="宋体" w:hAnsi="宋体" w:cs="Arial"/>
          <w:b w:val="0"/>
          <w:bCs w:val="0"/>
          <w:kern w:val="0"/>
          <w:szCs w:val="21"/>
        </w:rPr>
      </w:sdtEndPr>
      <w:sdtContent>
        <w:p>
          <w:pPr>
            <w:pStyle w:val="80"/>
            <w:numPr>
              <w:ilvl w:val="3"/>
              <w:numId w:val="79"/>
            </w:numPr>
            <w:tabs>
              <w:tab w:val="left" w:pos="644"/>
            </w:tabs>
            <w:rPr>
              <w:rFonts w:ascii="宋体" w:hAnsi="宋体" w:cs="Arial"/>
              <w:szCs w:val="21"/>
            </w:rPr>
          </w:pPr>
          <w:r>
            <w:rPr>
              <w:rFonts w:hint="eastAsia" w:ascii="宋体" w:hAnsi="宋体" w:cs="Arial"/>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25155772"/>
            <w:lock w:val="sdtContentLocked"/>
            <w:placeholder>
              <w:docPart w:val="GBC22222222222222222222222222222"/>
            </w:placeholder>
          </w:sdtPr>
          <w:sdtContent>
            <w:p>
              <w:pPr>
                <w:pStyle w:val="76"/>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cs="Arial"/>
          <w:b/>
          <w:szCs w:val="21"/>
        </w:rPr>
      </w:pPr>
    </w:p>
    <w:sdt>
      <w:sdtPr>
        <w:rPr>
          <w:szCs w:val="21"/>
        </w:rPr>
        <w:alias w:val="模块:在子公司中的权益其他说明"/>
        <w:tag w:val="_GBC_a0f68dc0a3a24efaa431a8c8d768eb0f"/>
        <w:id w:val="25155775"/>
        <w:lock w:val="sdtLocked"/>
        <w:placeholder>
          <w:docPart w:val="GBC22222222222222222222222222222"/>
        </w:placeholder>
      </w:sdtPr>
      <w:sdtEndPr>
        <w:rPr>
          <w:szCs w:val="21"/>
        </w:rPr>
      </w:sdtEndPr>
      <w:sdtContent>
        <w:p>
          <w:pPr>
            <w:pStyle w:val="76"/>
            <w:rPr>
              <w:szCs w:val="21"/>
            </w:rPr>
          </w:pPr>
          <w:r>
            <w:rPr>
              <w:rFonts w:hint="eastAsia"/>
              <w:szCs w:val="21"/>
            </w:rPr>
            <w:t>其他说明：</w:t>
          </w:r>
        </w:p>
        <w:sdt>
          <w:sdtPr>
            <w:rPr>
              <w:szCs w:val="21"/>
            </w:rPr>
            <w:alias w:val="是否适用：在子公司中的权益其他说明[双击切换]"/>
            <w:tag w:val="_GBC_e4c33fb40d7a42bc88681a9facbf5ba5"/>
            <w:id w:val="2515577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p>
      <w:pPr>
        <w:pStyle w:val="79"/>
        <w:numPr>
          <w:ilvl w:val="2"/>
          <w:numId w:val="78"/>
        </w:numPr>
        <w:rPr>
          <w:rFonts w:ascii="宋体" w:hAnsi="宋体" w:cs="Arial"/>
          <w:szCs w:val="21"/>
        </w:rPr>
      </w:pPr>
      <w:r>
        <w:rPr>
          <w:rFonts w:hint="eastAsia" w:ascii="宋体" w:hAnsi="宋体" w:cs="Arial"/>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25155776"/>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9"/>
        <w:numPr>
          <w:ilvl w:val="2"/>
          <w:numId w:val="78"/>
        </w:numPr>
        <w:rPr>
          <w:rFonts w:ascii="宋体" w:hAnsi="宋体" w:cs="Arial"/>
          <w:szCs w:val="21"/>
        </w:rPr>
      </w:pPr>
      <w:r>
        <w:rPr>
          <w:rFonts w:hint="eastAsia" w:ascii="宋体" w:hAnsi="宋体" w:cs="Arial"/>
          <w:szCs w:val="21"/>
        </w:rPr>
        <w:t>在合营企业或联营企业中的权益</w:t>
      </w:r>
    </w:p>
    <w:sdt>
      <w:sdtPr>
        <w:alias w:val="是否适用：在合营企业或联营企业中的权益[双击切换]"/>
        <w:tag w:val="_GBC_31c0fe2068fd4a898e4269df4925aa76"/>
        <w:id w:val="2515577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b w:val="0"/>
          <w:bCs w:val="0"/>
          <w:kern w:val="0"/>
          <w:szCs w:val="24"/>
        </w:rPr>
        <w:alias w:val="模块:重要的合营企业或联营企业"/>
        <w:tag w:val="_GBC_49e4a749316a464e89485cda5774fc07"/>
        <w:id w:val="25155791"/>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3"/>
              <w:numId w:val="80"/>
            </w:numPr>
            <w:tabs>
              <w:tab w:val="left" w:pos="630"/>
            </w:tabs>
          </w:pPr>
          <w:r>
            <w:rPr>
              <w:rFonts w:hint="eastAsia"/>
            </w:rPr>
            <w:t>重要的合营企业或联营企业</w:t>
          </w:r>
        </w:p>
        <w:sdt>
          <w:sdtPr>
            <w:alias w:val="是否适用：重要的合营企业或联营企业[双击切换]"/>
            <w:tag w:val="_GBC_9973f58b324442d5879a5d16db0cd410"/>
            <w:id w:val="2515577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财务附注：重要的合营企业或联营企业"/>
              <w:tag w:val="_GBC_fc95ad35f9984b0c84fb2b12ebeb41db"/>
              <w:id w:val="251557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2515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1133"/>
            <w:gridCol w:w="994"/>
            <w:gridCol w:w="1135"/>
            <w:gridCol w:w="708"/>
            <w:gridCol w:w="590"/>
            <w:gridCol w:w="16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sdt>
              <w:sdtPr>
                <w:rPr>
                  <w:sz w:val="18"/>
                  <w:szCs w:val="18"/>
                </w:rPr>
                <w:tag w:val="_PLD_bb6c91c88e754a5da79068d0b040e152"/>
                <w:id w:val="25155781"/>
                <w:lock w:val="sdtLocked"/>
              </w:sdtPr>
              <w:sdtEndPr>
                <w:rPr>
                  <w:sz w:val="18"/>
                  <w:szCs w:val="18"/>
                </w:rPr>
              </w:sdtEndPr>
              <w:sdtContent>
                <w:tc>
                  <w:tcPr>
                    <w:tcW w:w="2802" w:type="dxa"/>
                    <w:vMerge w:val="restart"/>
                    <w:tcBorders>
                      <w:top w:val="single" w:color="auto" w:sz="4" w:space="0"/>
                      <w:left w:val="single" w:color="auto" w:sz="4"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合营企业或联营企业名称</w:t>
                    </w:r>
                  </w:p>
                </w:tc>
              </w:sdtContent>
            </w:sdt>
            <w:sdt>
              <w:sdtPr>
                <w:rPr>
                  <w:sz w:val="18"/>
                  <w:szCs w:val="18"/>
                </w:rPr>
                <w:tag w:val="_PLD_4c91d89257574ee1a96260d900b3fdde"/>
                <w:id w:val="25155782"/>
                <w:lock w:val="sdtLocked"/>
              </w:sdtPr>
              <w:sdtEndPr>
                <w:rPr>
                  <w:sz w:val="18"/>
                  <w:szCs w:val="18"/>
                </w:rPr>
              </w:sdtEndPr>
              <w:sdtContent>
                <w:tc>
                  <w:tcPr>
                    <w:tcW w:w="1133"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主要经营地</w:t>
                    </w:r>
                  </w:p>
                </w:tc>
              </w:sdtContent>
            </w:sdt>
            <w:sdt>
              <w:sdtPr>
                <w:rPr>
                  <w:sz w:val="18"/>
                  <w:szCs w:val="18"/>
                </w:rPr>
                <w:tag w:val="_PLD_4a3c73442b1947fdae2c0b554e7271a4"/>
                <w:id w:val="25155783"/>
                <w:lock w:val="sdtLocked"/>
              </w:sdtPr>
              <w:sdtEndPr>
                <w:rPr>
                  <w:sz w:val="18"/>
                  <w:szCs w:val="18"/>
                </w:rPr>
              </w:sdtEndPr>
              <w:sdtContent>
                <w:tc>
                  <w:tcPr>
                    <w:tcW w:w="994"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注册地</w:t>
                    </w:r>
                  </w:p>
                </w:tc>
              </w:sdtContent>
            </w:sdt>
            <w:sdt>
              <w:sdtPr>
                <w:rPr>
                  <w:sz w:val="18"/>
                  <w:szCs w:val="18"/>
                </w:rPr>
                <w:tag w:val="_PLD_07a3d19678c44b0db85c15fb74bf76d2"/>
                <w:id w:val="25155784"/>
                <w:lock w:val="sdtLocked"/>
              </w:sdtPr>
              <w:sdtEndPr>
                <w:rPr>
                  <w:sz w:val="18"/>
                  <w:szCs w:val="18"/>
                </w:rPr>
              </w:sdtEndPr>
              <w:sdtContent>
                <w:tc>
                  <w:tcPr>
                    <w:tcW w:w="1135"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业务性质</w:t>
                    </w:r>
                  </w:p>
                </w:tc>
              </w:sdtContent>
            </w:sdt>
            <w:sdt>
              <w:sdtPr>
                <w:rPr>
                  <w:sz w:val="18"/>
                  <w:szCs w:val="18"/>
                </w:rPr>
                <w:tag w:val="_PLD_cb67afe7283245a29754ca96c69b89fc"/>
                <w:id w:val="25155785"/>
                <w:lock w:val="sdtLocked"/>
              </w:sdtPr>
              <w:sdtEndPr>
                <w:rPr>
                  <w:sz w:val="18"/>
                  <w:szCs w:val="18"/>
                </w:rPr>
              </w:sdtEndPr>
              <w:sdtContent>
                <w:tc>
                  <w:tcPr>
                    <w:tcW w:w="1298"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持股比例</w:t>
                    </w:r>
                    <w:r>
                      <w:rPr>
                        <w:rFonts w:cs="Arial"/>
                        <w:sz w:val="18"/>
                        <w:szCs w:val="18"/>
                      </w:rPr>
                      <w:t>(%)</w:t>
                    </w:r>
                  </w:p>
                </w:tc>
              </w:sdtContent>
            </w:sdt>
            <w:sdt>
              <w:sdtPr>
                <w:rPr>
                  <w:sz w:val="18"/>
                  <w:szCs w:val="18"/>
                </w:rPr>
                <w:tag w:val="_PLD_0fddec4e9b2a4b3aa0f9a08859cf498e"/>
                <w:id w:val="25155786"/>
                <w:lock w:val="sdtLocked"/>
              </w:sdtPr>
              <w:sdtEndPr>
                <w:rPr>
                  <w:sz w:val="18"/>
                  <w:szCs w:val="18"/>
                </w:rPr>
              </w:sdtEndPr>
              <w:sdtContent>
                <w:tc>
                  <w:tcPr>
                    <w:tcW w:w="1687" w:type="dxa"/>
                    <w:vMerge w:val="restart"/>
                    <w:tcBorders>
                      <w:top w:val="single" w:color="auto" w:sz="4" w:space="0"/>
                      <w:left w:val="single" w:color="auto" w:sz="6" w:space="0"/>
                      <w:bottom w:val="single" w:color="auto" w:sz="6" w:space="0"/>
                      <w:right w:val="single" w:color="auto" w:sz="4" w:space="0"/>
                    </w:tcBorders>
                    <w:shd w:val="clear" w:color="auto" w:fill="auto"/>
                    <w:vAlign w:val="center"/>
                  </w:tcPr>
                  <w:p>
                    <w:pPr>
                      <w:pStyle w:val="76"/>
                      <w:jc w:val="center"/>
                      <w:rPr>
                        <w:rFonts w:cs="Arial"/>
                        <w:sz w:val="18"/>
                        <w:szCs w:val="18"/>
                      </w:rPr>
                    </w:pPr>
                    <w:r>
                      <w:rPr>
                        <w:rFonts w:hint="eastAsia" w:cs="Arial"/>
                        <w:sz w:val="18"/>
                        <w:szCs w:val="18"/>
                        <w:lang w:val="en-GB"/>
                      </w:rPr>
                      <w:t>对合营企业或联营企业投资的会计处理方法</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trPr>
            <w:tc>
              <w:tcPr>
                <w:tcW w:w="2802" w:type="dxa"/>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pStyle w:val="76"/>
                  <w:rPr>
                    <w:rFonts w:cs="Arial"/>
                    <w:sz w:val="18"/>
                    <w:szCs w:val="18"/>
                  </w:rPr>
                </w:pPr>
              </w:p>
            </w:tc>
            <w:tc>
              <w:tcPr>
                <w:tcW w:w="1133" w:type="dxa"/>
                <w:vMerge w:val="continue"/>
                <w:tcBorders>
                  <w:top w:val="single" w:color="auto" w:sz="4" w:space="0"/>
                  <w:left w:val="single" w:color="auto" w:sz="6" w:space="0"/>
                  <w:bottom w:val="single" w:color="auto" w:sz="6" w:space="0"/>
                  <w:right w:val="single" w:color="auto" w:sz="6" w:space="0"/>
                </w:tcBorders>
                <w:shd w:val="clear" w:color="auto" w:fill="auto"/>
                <w:vAlign w:val="center"/>
              </w:tcPr>
              <w:p>
                <w:pPr>
                  <w:pStyle w:val="76"/>
                  <w:rPr>
                    <w:rFonts w:cs="Arial"/>
                    <w:sz w:val="18"/>
                    <w:szCs w:val="18"/>
                  </w:rPr>
                </w:pPr>
              </w:p>
            </w:tc>
            <w:tc>
              <w:tcPr>
                <w:tcW w:w="994" w:type="dxa"/>
                <w:vMerge w:val="continue"/>
                <w:tcBorders>
                  <w:top w:val="single" w:color="auto" w:sz="4" w:space="0"/>
                  <w:left w:val="single" w:color="auto" w:sz="6" w:space="0"/>
                  <w:bottom w:val="single" w:color="auto" w:sz="6" w:space="0"/>
                  <w:right w:val="single" w:color="auto" w:sz="6" w:space="0"/>
                </w:tcBorders>
                <w:shd w:val="clear" w:color="auto" w:fill="auto"/>
                <w:vAlign w:val="center"/>
              </w:tcPr>
              <w:p>
                <w:pPr>
                  <w:pStyle w:val="76"/>
                  <w:rPr>
                    <w:rFonts w:cs="Arial"/>
                    <w:sz w:val="18"/>
                    <w:szCs w:val="18"/>
                  </w:rPr>
                </w:pPr>
              </w:p>
            </w:tc>
            <w:tc>
              <w:tcPr>
                <w:tcW w:w="1135" w:type="dxa"/>
                <w:vMerge w:val="continue"/>
                <w:tcBorders>
                  <w:top w:val="single" w:color="auto" w:sz="4" w:space="0"/>
                  <w:left w:val="single" w:color="auto" w:sz="6" w:space="0"/>
                  <w:bottom w:val="single" w:color="auto" w:sz="6" w:space="0"/>
                  <w:right w:val="single" w:color="auto" w:sz="6" w:space="0"/>
                </w:tcBorders>
                <w:shd w:val="clear" w:color="auto" w:fill="auto"/>
                <w:vAlign w:val="center"/>
              </w:tcPr>
              <w:p>
                <w:pPr>
                  <w:pStyle w:val="76"/>
                  <w:rPr>
                    <w:rFonts w:cs="Arial"/>
                    <w:sz w:val="18"/>
                    <w:szCs w:val="18"/>
                  </w:rPr>
                </w:pPr>
              </w:p>
            </w:tc>
            <w:sdt>
              <w:sdtPr>
                <w:rPr>
                  <w:sz w:val="18"/>
                  <w:szCs w:val="18"/>
                </w:rPr>
                <w:tag w:val="_PLD_42f14f52720a4c87819c9bd5211ded18"/>
                <w:id w:val="25155787"/>
                <w:lock w:val="sdtLocked"/>
              </w:sdtPr>
              <w:sdtEndPr>
                <w:rPr>
                  <w:sz w:val="18"/>
                  <w:szCs w:val="18"/>
                </w:rPr>
              </w:sdtEndPr>
              <w:sdtContent>
                <w:tc>
                  <w:tcPr>
                    <w:tcW w:w="708" w:type="dxa"/>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直接</w:t>
                    </w:r>
                  </w:p>
                </w:tc>
              </w:sdtContent>
            </w:sdt>
            <w:sdt>
              <w:sdtPr>
                <w:rPr>
                  <w:sz w:val="18"/>
                  <w:szCs w:val="18"/>
                </w:rPr>
                <w:tag w:val="_PLD_e87318e11f6c4411aa17083e3a10cd90"/>
                <w:id w:val="25155788"/>
                <w:lock w:val="sdtLocked"/>
              </w:sdtPr>
              <w:sdtEndPr>
                <w:rPr>
                  <w:sz w:val="18"/>
                  <w:szCs w:val="18"/>
                </w:rPr>
              </w:sdtEndPr>
              <w:sdtContent>
                <w:tc>
                  <w:tcPr>
                    <w:tcW w:w="590" w:type="dxa"/>
                    <w:tcBorders>
                      <w:top w:val="single" w:color="auto" w:sz="4" w:space="0"/>
                      <w:left w:val="single" w:color="auto" w:sz="6" w:space="0"/>
                      <w:bottom w:val="single" w:color="auto" w:sz="6" w:space="0"/>
                      <w:right w:val="single" w:color="auto" w:sz="6" w:space="0"/>
                    </w:tcBorders>
                    <w:shd w:val="clear" w:color="auto" w:fill="auto"/>
                    <w:vAlign w:val="center"/>
                  </w:tcPr>
                  <w:p>
                    <w:pPr>
                      <w:pStyle w:val="76"/>
                      <w:jc w:val="center"/>
                      <w:rPr>
                        <w:rFonts w:cs="Arial"/>
                        <w:sz w:val="18"/>
                        <w:szCs w:val="18"/>
                      </w:rPr>
                    </w:pPr>
                    <w:r>
                      <w:rPr>
                        <w:rFonts w:hint="eastAsia" w:cs="Arial"/>
                        <w:sz w:val="18"/>
                        <w:szCs w:val="18"/>
                        <w:lang w:val="en-GB"/>
                      </w:rPr>
                      <w:t>间接</w:t>
                    </w:r>
                  </w:p>
                </w:tc>
              </w:sdtContent>
            </w:sdt>
            <w:tc>
              <w:tcPr>
                <w:tcW w:w="1687" w:type="dxa"/>
                <w:vMerge w:val="continue"/>
                <w:tcBorders>
                  <w:top w:val="single" w:color="auto" w:sz="4" w:space="0"/>
                  <w:left w:val="single" w:color="auto" w:sz="6" w:space="0"/>
                  <w:bottom w:val="single" w:color="auto" w:sz="6" w:space="0"/>
                  <w:right w:val="single" w:color="auto" w:sz="4" w:space="0"/>
                </w:tcBorders>
                <w:vAlign w:val="center"/>
              </w:tcPr>
              <w:p>
                <w:pPr>
                  <w:pStyle w:val="76"/>
                  <w:rPr>
                    <w:rFonts w:cs="Arial"/>
                    <w:sz w:val="18"/>
                    <w:szCs w:val="18"/>
                  </w:rPr>
                </w:pPr>
              </w:p>
            </w:tc>
          </w:tr>
          <w:sdt>
            <w:sdtPr>
              <w:rPr>
                <w:sz w:val="18"/>
                <w:szCs w:val="18"/>
              </w:rPr>
              <w:alias w:val="重要的合营企业或联营企业明细"/>
              <w:tag w:val="_GBC_a1baed559822472c8c78b05cadceb35a"/>
              <w:id w:val="2515578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2802" w:type="dxa"/>
                    <w:tcBorders>
                      <w:top w:val="single" w:color="auto" w:sz="6" w:space="0"/>
                      <w:left w:val="single" w:color="auto" w:sz="4" w:space="0"/>
                      <w:bottom w:val="single" w:color="auto" w:sz="4" w:space="0"/>
                      <w:right w:val="single" w:color="auto" w:sz="6" w:space="0"/>
                    </w:tcBorders>
                  </w:tcPr>
                  <w:p>
                    <w:pPr>
                      <w:pStyle w:val="76"/>
                      <w:rPr>
                        <w:sz w:val="18"/>
                        <w:szCs w:val="18"/>
                      </w:rPr>
                    </w:pPr>
                    <w:r>
                      <w:rPr>
                        <w:sz w:val="18"/>
                        <w:szCs w:val="18"/>
                      </w:rPr>
                      <w:t>桂林仙源健康产业股份有限公司</w:t>
                    </w:r>
                  </w:p>
                </w:tc>
                <w:tc>
                  <w:tcPr>
                    <w:tcW w:w="1133" w:type="dxa"/>
                    <w:tcBorders>
                      <w:top w:val="single" w:color="auto" w:sz="6" w:space="0"/>
                      <w:left w:val="single" w:color="auto" w:sz="6" w:space="0"/>
                      <w:bottom w:val="single" w:color="auto" w:sz="4" w:space="0"/>
                      <w:right w:val="single" w:color="auto" w:sz="6" w:space="0"/>
                    </w:tcBorders>
                  </w:tcPr>
                  <w:p>
                    <w:pPr>
                      <w:pStyle w:val="76"/>
                      <w:rPr>
                        <w:sz w:val="18"/>
                        <w:szCs w:val="18"/>
                      </w:rPr>
                    </w:pPr>
                    <w:r>
                      <w:rPr>
                        <w:sz w:val="18"/>
                        <w:szCs w:val="18"/>
                      </w:rPr>
                      <w:t>桂林市</w:t>
                    </w:r>
                  </w:p>
                </w:tc>
                <w:tc>
                  <w:tcPr>
                    <w:tcW w:w="994" w:type="dxa"/>
                    <w:tcBorders>
                      <w:top w:val="single" w:color="auto" w:sz="6" w:space="0"/>
                      <w:left w:val="single" w:color="auto" w:sz="6" w:space="0"/>
                      <w:bottom w:val="single" w:color="auto" w:sz="4" w:space="0"/>
                      <w:right w:val="single" w:color="auto" w:sz="6" w:space="0"/>
                    </w:tcBorders>
                  </w:tcPr>
                  <w:p>
                    <w:pPr>
                      <w:pStyle w:val="76"/>
                      <w:rPr>
                        <w:sz w:val="18"/>
                        <w:szCs w:val="18"/>
                      </w:rPr>
                    </w:pPr>
                    <w:r>
                      <w:rPr>
                        <w:sz w:val="18"/>
                        <w:szCs w:val="18"/>
                      </w:rPr>
                      <w:t>桂林市</w:t>
                    </w:r>
                  </w:p>
                </w:tc>
                <w:tc>
                  <w:tcPr>
                    <w:tcW w:w="1135" w:type="dxa"/>
                    <w:tcBorders>
                      <w:top w:val="single" w:color="auto" w:sz="6" w:space="0"/>
                      <w:left w:val="single" w:color="auto" w:sz="6" w:space="0"/>
                      <w:bottom w:val="single" w:color="auto" w:sz="4" w:space="0"/>
                      <w:right w:val="single" w:color="auto" w:sz="6" w:space="0"/>
                    </w:tcBorders>
                  </w:tcPr>
                  <w:p>
                    <w:pPr>
                      <w:pStyle w:val="76"/>
                      <w:rPr>
                        <w:sz w:val="18"/>
                        <w:szCs w:val="18"/>
                      </w:rPr>
                    </w:pPr>
                    <w:r>
                      <w:rPr>
                        <w:sz w:val="18"/>
                        <w:szCs w:val="18"/>
                      </w:rPr>
                      <w:t>健康、养老</w:t>
                    </w:r>
                  </w:p>
                </w:tc>
                <w:tc>
                  <w:tcPr>
                    <w:tcW w:w="708" w:type="dxa"/>
                    <w:tcBorders>
                      <w:top w:val="single" w:color="auto" w:sz="6" w:space="0"/>
                      <w:left w:val="single" w:color="auto" w:sz="6" w:space="0"/>
                      <w:bottom w:val="single" w:color="auto" w:sz="4" w:space="0"/>
                      <w:right w:val="single" w:color="auto" w:sz="6" w:space="0"/>
                    </w:tcBorders>
                  </w:tcPr>
                  <w:p>
                    <w:pPr>
                      <w:pStyle w:val="76"/>
                      <w:jc w:val="right"/>
                      <w:rPr>
                        <w:sz w:val="18"/>
                        <w:szCs w:val="18"/>
                      </w:rPr>
                    </w:pPr>
                    <w:r>
                      <w:rPr>
                        <w:sz w:val="18"/>
                        <w:szCs w:val="18"/>
                      </w:rPr>
                      <w:t>35</w:t>
                    </w:r>
                  </w:p>
                </w:tc>
                <w:tc>
                  <w:tcPr>
                    <w:tcW w:w="590" w:type="dxa"/>
                    <w:tcBorders>
                      <w:top w:val="single" w:color="auto" w:sz="6" w:space="0"/>
                      <w:left w:val="single" w:color="auto" w:sz="6" w:space="0"/>
                      <w:bottom w:val="single" w:color="auto" w:sz="4" w:space="0"/>
                      <w:right w:val="single" w:color="auto" w:sz="6" w:space="0"/>
                    </w:tcBorders>
                  </w:tcPr>
                  <w:p>
                    <w:pPr>
                      <w:pStyle w:val="76"/>
                      <w:jc w:val="right"/>
                      <w:rPr>
                        <w:sz w:val="18"/>
                        <w:szCs w:val="18"/>
                      </w:rPr>
                    </w:pPr>
                  </w:p>
                </w:tc>
                <w:tc>
                  <w:tcPr>
                    <w:tcW w:w="1687" w:type="dxa"/>
                    <w:tcBorders>
                      <w:top w:val="single" w:color="auto" w:sz="6" w:space="0"/>
                      <w:left w:val="single" w:color="auto" w:sz="6" w:space="0"/>
                      <w:bottom w:val="single" w:color="auto" w:sz="4" w:space="0"/>
                      <w:right w:val="single" w:color="auto" w:sz="4" w:space="0"/>
                    </w:tcBorders>
                  </w:tcPr>
                  <w:p>
                    <w:pPr>
                      <w:pStyle w:val="76"/>
                      <w:rPr>
                        <w:sz w:val="18"/>
                        <w:szCs w:val="18"/>
                      </w:rPr>
                    </w:pPr>
                    <w:r>
                      <w:rPr>
                        <w:sz w:val="18"/>
                        <w:szCs w:val="18"/>
                      </w:rPr>
                      <w:t>采用权益法核算长期股权投资</w:t>
                    </w:r>
                  </w:p>
                </w:tc>
              </w:tr>
            </w:sdtContent>
          </w:sdt>
        </w:tbl>
        <w:p>
          <w:pPr>
            <w:pStyle w:val="76"/>
          </w:pPr>
        </w:p>
        <w:p>
          <w:pPr>
            <w:pStyle w:val="76"/>
            <w:rPr>
              <w:rFonts w:cs="Arial"/>
              <w:szCs w:val="21"/>
            </w:rPr>
          </w:pPr>
          <w:r>
            <w:rPr>
              <w:rFonts w:hint="eastAsia" w:cs="Arial"/>
              <w:szCs w:val="21"/>
            </w:rPr>
            <w:t>在合营企业或联营企业的持股比例不同于表决权比例的说明：</w:t>
          </w:r>
        </w:p>
        <w:sdt>
          <w:sdtPr>
            <w:rPr>
              <w:rFonts w:cs="Arial"/>
              <w:szCs w:val="21"/>
            </w:rPr>
            <w:alias w:val="在合营企业或联营企业的持股比例不同于表决权比例的说明"/>
            <w:tag w:val="_GBC_b18385c11aff4424b360bd0cb4f81376"/>
            <w:id w:val="25155790"/>
            <w:lock w:val="sdtLocked"/>
            <w:placeholder>
              <w:docPart w:val="GBC22222222222222222222222222222"/>
            </w:placeholder>
          </w:sdtPr>
          <w:sdtEndPr>
            <w:rPr>
              <w:rFonts w:cs="Arial"/>
              <w:szCs w:val="21"/>
            </w:rPr>
          </w:sdtEndPr>
          <w:sdtContent>
            <w:p>
              <w:pPr>
                <w:pStyle w:val="76"/>
                <w:rPr>
                  <w:rFonts w:cs="Arial"/>
                  <w:szCs w:val="21"/>
                </w:rPr>
              </w:pPr>
              <w:r>
                <w:rPr>
                  <w:rFonts w:hint="eastAsia" w:cs="Arial"/>
                  <w:szCs w:val="21"/>
                </w:rPr>
                <w:t>本公司在该公司的持股比例与表决权比例一致。</w:t>
              </w:r>
            </w:p>
          </w:sdtContent>
        </w:sdt>
        <w:p>
          <w:pPr>
            <w:pStyle w:val="76"/>
            <w:rPr>
              <w:rFonts w:cstheme="minorBidi"/>
              <w:szCs w:val="21"/>
            </w:rPr>
          </w:pPr>
        </w:p>
      </w:sdtContent>
    </w:sdt>
    <w:p>
      <w:pPr>
        <w:pStyle w:val="80"/>
        <w:numPr>
          <w:ilvl w:val="3"/>
          <w:numId w:val="80"/>
        </w:numPr>
        <w:tabs>
          <w:tab w:val="left" w:pos="630"/>
        </w:tabs>
        <w:rPr>
          <w:rFonts w:ascii="宋体" w:hAnsi="宋体" w:cs="Arial"/>
          <w:szCs w:val="21"/>
        </w:rPr>
      </w:pPr>
      <w:r>
        <w:rPr>
          <w:rFonts w:hint="eastAsia" w:ascii="宋体" w:hAnsi="宋体" w:cs="Arial"/>
          <w:szCs w:val="21"/>
        </w:rPr>
        <w:t>重要合营企业的主要财务信息</w:t>
      </w:r>
    </w:p>
    <w:p>
      <w:pPr>
        <w:pStyle w:val="76"/>
        <w:rPr>
          <w:rFonts w:cstheme="minorBidi"/>
          <w:szCs w:val="21"/>
        </w:rPr>
      </w:pPr>
      <w:sdt>
        <w:sdtPr>
          <w:rPr>
            <w:rFonts w:hint="eastAsia"/>
            <w:b/>
          </w:rPr>
          <w:alias w:val="是否适用：重要合营企业的主要财务信息[双击切换]"/>
          <w:tag w:val="_GBC_6241cde567c342139ae6186afeea9fb4"/>
          <w:id w:val="25155792"/>
          <w:lock w:val="sdtContentLocked"/>
          <w:placeholder>
            <w:docPart w:val="GBC22222222222222222222222222222"/>
          </w:placeholder>
        </w:sdtPr>
        <w:sdtEndPr>
          <w:rPr>
            <w:rFonts w:hint="eastAsia"/>
            <w:b w:val="0"/>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pPr>
        <w:pStyle w:val="80"/>
        <w:numPr>
          <w:ilvl w:val="3"/>
          <w:numId w:val="80"/>
        </w:numPr>
        <w:tabs>
          <w:tab w:val="left" w:pos="630"/>
        </w:tabs>
        <w:rPr>
          <w:rFonts w:ascii="宋体" w:hAnsi="宋体" w:cs="Arial"/>
          <w:szCs w:val="21"/>
        </w:rPr>
      </w:pPr>
      <w:r>
        <w:rPr>
          <w:rFonts w:hint="eastAsia" w:ascii="宋体" w:hAnsi="宋体" w:cs="Arial"/>
          <w:szCs w:val="21"/>
        </w:rPr>
        <w:t>重要联营企业的主要财务信息</w:t>
      </w:r>
    </w:p>
    <w:p>
      <w:pPr>
        <w:pStyle w:val="76"/>
      </w:pPr>
      <w:sdt>
        <w:sdtPr>
          <w:rPr>
            <w:rFonts w:hint="eastAsia"/>
            <w:b/>
          </w:rPr>
          <w:alias w:val="是否适用：重要联营企业的主要财务信息[双击切换]"/>
          <w:tag w:val="_GBC_e304b69adb6f449495c3916754024763"/>
          <w:id w:val="25155793"/>
          <w:lock w:val="sdtContentLocked"/>
          <w:placeholder>
            <w:docPart w:val="GBC22222222222222222222222222222"/>
          </w:placeholder>
        </w:sdtPr>
        <w:sdtEndPr>
          <w:rPr>
            <w:rFonts w:hint="eastAsia"/>
            <w:b w:val="0"/>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pPr>
        <w:pStyle w:val="76"/>
        <w:jc w:val="right"/>
      </w:pPr>
      <w:r>
        <w:rPr>
          <w:rFonts w:hint="eastAsia"/>
        </w:rPr>
        <w:t>单位：</w:t>
      </w:r>
      <w:sdt>
        <w:sdtPr>
          <w:rPr>
            <w:rFonts w:hint="eastAsia"/>
          </w:rPr>
          <w:alias w:val="单位：财务附注：重要联营企业的主要财务信息"/>
          <w:tag w:val="_GBC_0306b30be35040cd86d2b964142011d4"/>
          <w:id w:val="25155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251557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sdt>
      <w:sdtPr>
        <w:alias w:val="模块:重要联营企业的主要财务信息"/>
        <w:tag w:val="_GBC_ac3eed998bbd4658ab651a88daefefb1"/>
        <w:id w:val="25155821"/>
        <w:lock w:val="sdtLocked"/>
        <w:placeholder>
          <w:docPart w:val="GBC22222222222222222222222222222"/>
        </w:placeholder>
      </w:sdtPr>
      <w:sdtContent>
        <w:tbl>
          <w:tblPr>
            <w:tblStyle w:val="36"/>
            <w:tblW w:w="90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47"/>
            <w:gridCol w:w="2552"/>
            <w:gridCol w:w="25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restart"/>
                <w:tcBorders>
                  <w:top w:val="single" w:color="auto" w:sz="4" w:space="0"/>
                  <w:left w:val="single" w:color="auto" w:sz="4" w:space="0"/>
                  <w:bottom w:val="single" w:color="auto" w:sz="6" w:space="0"/>
                  <w:right w:val="single" w:color="auto" w:sz="6" w:space="0"/>
                </w:tcBorders>
                <w:shd w:val="clear" w:color="auto" w:fill="auto"/>
              </w:tcPr>
              <w:p>
                <w:pPr>
                  <w:jc w:val="center"/>
                  <w:rPr>
                    <w:rFonts w:cs="Arial"/>
                  </w:rPr>
                </w:pPr>
              </w:p>
            </w:tc>
            <w:sdt>
              <w:sdtPr>
                <w:rPr>
                  <w:rFonts w:hint="eastAsia" w:cs="Arial"/>
                  <w:lang w:val="en-GB"/>
                </w:rPr>
                <w:alias w:val="重要联营企业的主要财务信息-发生期间"/>
                <w:tag w:val="_GBC_3985273c74d84e5d9e0004348ff54fc3"/>
                <w:id w:val="173937018"/>
                <w:lock w:val="sdtLocked"/>
              </w:sdtPr>
              <w:sdtEndPr>
                <w:rPr>
                  <w:rFonts w:hint="eastAsia" w:cs="Arial"/>
                  <w:lang w:val="en-GB"/>
                </w:rPr>
              </w:sdtEndPr>
              <w:sdtContent>
                <w:tc>
                  <w:tcPr>
                    <w:tcW w:w="2552"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cs="Arial"/>
                      </w:rPr>
                    </w:pPr>
                    <w:r>
                      <w:rPr>
                        <w:rFonts w:hint="eastAsia" w:cs="Arial"/>
                        <w:lang w:val="en-GB"/>
                      </w:rPr>
                      <w:t>期初余额/ 上期发生额</w:t>
                    </w:r>
                  </w:p>
                </w:tc>
              </w:sdtContent>
            </w:sdt>
            <w:sdt>
              <w:sdtPr>
                <w:rPr>
                  <w:rFonts w:hint="eastAsia" w:cs="Arial"/>
                  <w:lang w:val="en-GB"/>
                </w:rPr>
                <w:alias w:val="重要联营企业的主要财务信息-发生期间"/>
                <w:tag w:val="_GBC_c59f213bf9cc43468db35ae8e45286d0"/>
                <w:id w:val="-54939532"/>
                <w:lock w:val="sdtLocked"/>
              </w:sdtPr>
              <w:sdtEndPr>
                <w:rPr>
                  <w:rFonts w:hint="eastAsia" w:cs="Arial"/>
                  <w:lang w:val="en-GB"/>
                </w:rPr>
              </w:sdtEndPr>
              <w:sdtContent>
                <w:tc>
                  <w:tcPr>
                    <w:tcW w:w="2550"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cs="Arial"/>
                        <w:lang w:val="en-GB"/>
                      </w:rPr>
                    </w:pPr>
                    <w:r>
                      <w:rPr>
                        <w:rFonts w:hint="eastAsia" w:cs="Arial"/>
                        <w:lang w:val="en-GB"/>
                      </w:rPr>
                      <w:t>期初余额/ 上期发生额</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rPr>
                    <w:rFonts w:cs="Arial"/>
                  </w:rPr>
                </w:pPr>
              </w:p>
            </w:tc>
            <w:sdt>
              <w:sdtPr>
                <w:rPr>
                  <w:rFonts w:hint="eastAsia"/>
                </w:rPr>
                <w:alias w:val="重要联营企业的主要财务信息明细-企业名称"/>
                <w:tag w:val="_GBC_0cae03adb6fc417da51f1e06cc077a6b"/>
                <w:id w:val="667377351"/>
                <w:lock w:val="sdtLocked"/>
              </w:sdtPr>
              <w:sdtEndPr>
                <w:rPr>
                  <w:rFonts w:hint="eastAsia"/>
                </w:rPr>
              </w:sdtEndPr>
              <w:sdtContent>
                <w:tc>
                  <w:tcPr>
                    <w:tcW w:w="2552" w:type="dxa"/>
                    <w:tcBorders>
                      <w:top w:val="single" w:color="auto" w:sz="6" w:space="0"/>
                      <w:left w:val="single" w:color="auto" w:sz="6" w:space="0"/>
                      <w:right w:val="single" w:color="auto" w:sz="6" w:space="0"/>
                    </w:tcBorders>
                    <w:shd w:val="clear" w:color="auto" w:fill="auto"/>
                  </w:tcPr>
                  <w:p>
                    <w:pPr>
                      <w:jc w:val="center"/>
                    </w:pPr>
                    <w:r>
                      <w:rPr>
                        <w:rFonts w:hint="eastAsia"/>
                      </w:rPr>
                      <w:t>仙源公司</w:t>
                    </w:r>
                  </w:p>
                </w:tc>
              </w:sdtContent>
            </w:sdt>
            <w:sdt>
              <w:sdtPr>
                <w:rPr>
                  <w:rFonts w:hint="eastAsia"/>
                </w:rPr>
                <w:alias w:val="重要联营企业的主要财务信息明细-企业名称"/>
                <w:tag w:val="_GBC_dabfa87f0eff42149952cca99a0db3a2"/>
                <w:id w:val="-1594007660"/>
                <w:lock w:val="sdtLocked"/>
              </w:sdtPr>
              <w:sdtEndPr>
                <w:rPr>
                  <w:rFonts w:hint="eastAsia"/>
                </w:rPr>
              </w:sdtEndPr>
              <w:sdtContent>
                <w:tc>
                  <w:tcPr>
                    <w:tcW w:w="2550" w:type="dxa"/>
                    <w:tcBorders>
                      <w:top w:val="single" w:color="auto" w:sz="6" w:space="0"/>
                      <w:left w:val="single" w:color="auto" w:sz="6" w:space="0"/>
                      <w:bottom w:val="single" w:color="auto" w:sz="6" w:space="0"/>
                      <w:right w:val="single" w:color="auto" w:sz="6" w:space="0"/>
                    </w:tcBorders>
                    <w:shd w:val="clear" w:color="auto" w:fill="auto"/>
                  </w:tcPr>
                  <w:p>
                    <w:pPr>
                      <w:jc w:val="center"/>
                    </w:pPr>
                    <w:r>
                      <w:rPr>
                        <w:rFonts w:hint="eastAsia"/>
                      </w:rPr>
                      <w:t>仙源公司</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fef15ffbfdea4cb5a3d708c5ea8068c9"/>
                <w:id w:val="-131579460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流动资产</w:t>
                    </w:r>
                  </w:p>
                </w:tc>
              </w:sdtContent>
            </w:sdt>
            <w:tc>
              <w:tcPr>
                <w:tcW w:w="2552" w:type="dxa"/>
                <w:tcBorders>
                  <w:left w:val="single" w:color="auto" w:sz="6" w:space="0"/>
                  <w:right w:val="single" w:color="auto" w:sz="6" w:space="0"/>
                </w:tcBorders>
                <w:shd w:val="clear" w:color="auto" w:fill="auto"/>
              </w:tcPr>
              <w:p>
                <w:pPr>
                  <w:jc w:val="right"/>
                </w:pPr>
                <w:r>
                  <w:t>11,752,811.29</w:t>
                </w:r>
              </w:p>
            </w:tc>
            <w:tc>
              <w:tcPr>
                <w:tcW w:w="2550" w:type="dxa"/>
                <w:tcBorders>
                  <w:top w:val="single" w:color="auto" w:sz="6" w:space="0"/>
                  <w:left w:val="single" w:color="auto" w:sz="6" w:space="0"/>
                  <w:bottom w:val="single" w:color="auto" w:sz="6" w:space="0"/>
                  <w:right w:val="single" w:color="auto" w:sz="6" w:space="0"/>
                </w:tcBorders>
              </w:tcPr>
              <w:p>
                <w:pPr>
                  <w:jc w:val="right"/>
                </w:pPr>
                <w:r>
                  <w:t>1,779,398.89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f31bdbdda3c24ef0ad64c4480cfaf1eb"/>
                <w:id w:val="130065343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非流动资产</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1755220e8944b638b853a5090d054ac"/>
                <w:id w:val="161085638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资产合计</w:t>
                    </w:r>
                  </w:p>
                </w:tc>
              </w:sdtContent>
            </w:sdt>
            <w:tc>
              <w:tcPr>
                <w:tcW w:w="2552" w:type="dxa"/>
                <w:tcBorders>
                  <w:left w:val="single" w:color="auto" w:sz="6" w:space="0"/>
                  <w:right w:val="single" w:color="auto" w:sz="6" w:space="0"/>
                </w:tcBorders>
                <w:shd w:val="clear" w:color="auto" w:fill="auto"/>
              </w:tcPr>
              <w:p>
                <w:pPr>
                  <w:jc w:val="right"/>
                </w:pPr>
                <w:r>
                  <w:t>11,752,811.29</w:t>
                </w:r>
              </w:p>
            </w:tc>
            <w:tc>
              <w:tcPr>
                <w:tcW w:w="2550" w:type="dxa"/>
                <w:tcBorders>
                  <w:top w:val="single" w:color="auto" w:sz="6" w:space="0"/>
                  <w:left w:val="single" w:color="auto" w:sz="6" w:space="0"/>
                  <w:bottom w:val="single" w:color="auto" w:sz="6" w:space="0"/>
                  <w:right w:val="single" w:color="auto" w:sz="6" w:space="0"/>
                </w:tcBorders>
              </w:tcPr>
              <w:p>
                <w:pPr>
                  <w:jc w:val="right"/>
                </w:pPr>
                <w:r>
                  <w:t>1,779,398.89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lang w:val="en-GB"/>
                  </w:rPr>
                </w:pPr>
              </w:p>
            </w:tc>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a177c33d2a4452285f3e4329499be2b"/>
                <w:id w:val="-176606335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流动负债</w:t>
                    </w:r>
                  </w:p>
                </w:tc>
              </w:sdtContent>
            </w:sdt>
            <w:tc>
              <w:tcPr>
                <w:tcW w:w="2552" w:type="dxa"/>
                <w:tcBorders>
                  <w:left w:val="single" w:color="auto" w:sz="6" w:space="0"/>
                  <w:right w:val="single" w:color="auto" w:sz="6" w:space="0"/>
                </w:tcBorders>
                <w:shd w:val="clear" w:color="auto" w:fill="auto"/>
              </w:tcPr>
              <w:p>
                <w:pPr>
                  <w:jc w:val="right"/>
                </w:pPr>
                <w:r>
                  <w:t>464,151.99</w:t>
                </w:r>
              </w:p>
            </w:tc>
            <w:tc>
              <w:tcPr>
                <w:tcW w:w="2550" w:type="dxa"/>
                <w:tcBorders>
                  <w:top w:val="single" w:color="auto" w:sz="6" w:space="0"/>
                  <w:left w:val="single" w:color="auto" w:sz="6" w:space="0"/>
                  <w:bottom w:val="single" w:color="auto" w:sz="6" w:space="0"/>
                  <w:right w:val="single" w:color="auto" w:sz="6" w:space="0"/>
                </w:tcBorders>
              </w:tcPr>
              <w:p>
                <w:pPr>
                  <w:jc w:val="right"/>
                </w:pPr>
                <w:r>
                  <w:t>225,897.89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69db2a7507214ff988c587702b84292a"/>
                <w:id w:val="-478227229"/>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非流动负债</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3196651961549cc968f034a6735b70d"/>
                <w:id w:val="196808325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负债合计</w:t>
                    </w:r>
                  </w:p>
                </w:tc>
              </w:sdtContent>
            </w:sdt>
            <w:tc>
              <w:tcPr>
                <w:tcW w:w="2552" w:type="dxa"/>
                <w:tcBorders>
                  <w:left w:val="single" w:color="auto" w:sz="6" w:space="0"/>
                  <w:right w:val="single" w:color="auto" w:sz="6" w:space="0"/>
                </w:tcBorders>
                <w:shd w:val="clear" w:color="auto" w:fill="auto"/>
              </w:tcPr>
              <w:p>
                <w:pPr>
                  <w:jc w:val="right"/>
                </w:pPr>
                <w:r>
                  <w:t>464,151.99</w:t>
                </w:r>
              </w:p>
            </w:tc>
            <w:tc>
              <w:tcPr>
                <w:tcW w:w="2550" w:type="dxa"/>
                <w:tcBorders>
                  <w:top w:val="single" w:color="auto" w:sz="6" w:space="0"/>
                  <w:left w:val="single" w:color="auto" w:sz="6" w:space="0"/>
                  <w:bottom w:val="single" w:color="auto" w:sz="6" w:space="0"/>
                  <w:right w:val="single" w:color="auto" w:sz="6" w:space="0"/>
                </w:tcBorders>
              </w:tcPr>
              <w:p>
                <w:pPr>
                  <w:jc w:val="right"/>
                </w:pPr>
                <w:r>
                  <w:t>225,897.89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lang w:val="en-GB"/>
                  </w:rPr>
                </w:pPr>
              </w:p>
            </w:tc>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f8ce7c22e39a4e18a87552ab1793dbb8"/>
                <w:id w:val="53817072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少数股东权益</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5a7b4c15f9cc46f796db15ddf6bdcb12"/>
                <w:id w:val="94913248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归属于母公司股东权益</w:t>
                    </w:r>
                  </w:p>
                </w:tc>
              </w:sdtContent>
            </w:sdt>
            <w:tc>
              <w:tcPr>
                <w:tcW w:w="2552" w:type="dxa"/>
                <w:tcBorders>
                  <w:left w:val="single" w:color="auto" w:sz="6" w:space="0"/>
                  <w:right w:val="single" w:color="auto" w:sz="6" w:space="0"/>
                </w:tcBorders>
                <w:shd w:val="clear" w:color="auto" w:fill="auto"/>
              </w:tcPr>
              <w:p>
                <w:pPr>
                  <w:jc w:val="right"/>
                </w:pPr>
                <w:r>
                  <w:t>11,288,659.30</w:t>
                </w:r>
              </w:p>
            </w:tc>
            <w:tc>
              <w:tcPr>
                <w:tcW w:w="2550" w:type="dxa"/>
                <w:tcBorders>
                  <w:top w:val="single" w:color="auto" w:sz="6" w:space="0"/>
                  <w:left w:val="single" w:color="auto" w:sz="6" w:space="0"/>
                  <w:bottom w:val="single" w:color="auto" w:sz="6" w:space="0"/>
                  <w:right w:val="single" w:color="auto" w:sz="6" w:space="0"/>
                </w:tcBorders>
              </w:tcPr>
              <w:p>
                <w:pPr>
                  <w:jc w:val="right"/>
                </w:pPr>
                <w:r>
                  <w:t>1,553,501.00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lang w:val="en-GB"/>
                  </w:rPr>
                </w:pPr>
              </w:p>
            </w:tc>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582e33fffa94878a3ba47a9591f38b8"/>
                <w:id w:val="1511999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按持股比例计算的净资产份额</w:t>
                    </w:r>
                  </w:p>
                </w:tc>
              </w:sdtContent>
            </w:sdt>
            <w:tc>
              <w:tcPr>
                <w:tcW w:w="2552" w:type="dxa"/>
                <w:tcBorders>
                  <w:left w:val="single" w:color="auto" w:sz="6" w:space="0"/>
                  <w:right w:val="single" w:color="auto" w:sz="6" w:space="0"/>
                </w:tcBorders>
                <w:shd w:val="clear" w:color="auto" w:fill="auto"/>
              </w:tcPr>
              <w:p>
                <w:pPr>
                  <w:jc w:val="right"/>
                </w:pPr>
                <w:r>
                  <w:t>3,647,365.82</w:t>
                </w:r>
              </w:p>
            </w:tc>
            <w:tc>
              <w:tcPr>
                <w:tcW w:w="2550" w:type="dxa"/>
                <w:tcBorders>
                  <w:top w:val="single" w:color="auto" w:sz="6" w:space="0"/>
                  <w:left w:val="single" w:color="auto" w:sz="6" w:space="0"/>
                  <w:bottom w:val="single" w:color="auto" w:sz="6" w:space="0"/>
                  <w:right w:val="single" w:color="auto" w:sz="6" w:space="0"/>
                </w:tcBorders>
              </w:tcPr>
              <w:p>
                <w:pPr>
                  <w:jc w:val="right"/>
                </w:pPr>
                <w:r>
                  <w:t>622,789.61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155423a13664f79a1deecda99eb64f1"/>
                <w:id w:val="200423822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调整事项</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bac24ebdbd9b48db9964fa3d371a3d1a"/>
                <w:id w:val="-175072895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cs="Arial"/>
                        <w:color w:val="000000"/>
                      </w:rPr>
                      <w:t>--</w:t>
                    </w:r>
                    <w:r>
                      <w:rPr>
                        <w:rFonts w:hint="eastAsia" w:cs="Arial"/>
                        <w:color w:val="000000"/>
                        <w:lang w:val="en-GB"/>
                      </w:rPr>
                      <w:t>商誉</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75fd21cf7f04f898ba9a18af77d6240"/>
                <w:id w:val="-1659216915"/>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cs="Arial"/>
                        <w:color w:val="000000"/>
                      </w:rPr>
                      <w:t>--</w:t>
                    </w:r>
                    <w:r>
                      <w:rPr>
                        <w:rFonts w:hint="eastAsia" w:cs="Arial"/>
                        <w:color w:val="000000"/>
                        <w:lang w:val="en-GB"/>
                      </w:rPr>
                      <w:t>内部交易未实现利润</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24a86660be95444c9447cafd3bbfe1ca"/>
                <w:id w:val="-312418671"/>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cs="Arial"/>
                        <w:color w:val="000000"/>
                      </w:rPr>
                      <w:t>--</w:t>
                    </w:r>
                    <w:r>
                      <w:rPr>
                        <w:rFonts w:hint="eastAsia" w:cs="Arial"/>
                        <w:color w:val="000000"/>
                        <w:lang w:val="en-GB"/>
                      </w:rPr>
                      <w:t>其他</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2be4185c2e6a44dfb7339347b64720df"/>
                <w:id w:val="-110449222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对联营企业权益投资的账面价值</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9f7288bf5124b4794da7c1329ad7dff"/>
                <w:id w:val="-105477037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存在公开报价的联营企业权益投资的公允价值</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lang w:val="en-GB"/>
                  </w:rPr>
                </w:pPr>
              </w:p>
            </w:tc>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3dda32d2f0f749c2b0d95dc4c3753c29"/>
                <w:id w:val="-196702692"/>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营业收入</w:t>
                    </w:r>
                  </w:p>
                </w:tc>
              </w:sdtContent>
            </w:sdt>
            <w:tc>
              <w:tcPr>
                <w:tcW w:w="2552" w:type="dxa"/>
                <w:tcBorders>
                  <w:left w:val="single" w:color="auto" w:sz="6" w:space="0"/>
                  <w:right w:val="single" w:color="auto" w:sz="6" w:space="0"/>
                </w:tcBorders>
                <w:shd w:val="clear" w:color="auto" w:fill="auto"/>
              </w:tcPr>
              <w:p>
                <w:pPr>
                  <w:jc w:val="right"/>
                </w:pPr>
                <w:r>
                  <w:t>1,414,596.45</w:t>
                </w:r>
              </w:p>
            </w:tc>
            <w:tc>
              <w:tcPr>
                <w:tcW w:w="2550" w:type="dxa"/>
                <w:tcBorders>
                  <w:top w:val="single" w:color="auto" w:sz="6" w:space="0"/>
                  <w:left w:val="single" w:color="auto" w:sz="6" w:space="0"/>
                  <w:bottom w:val="single" w:color="auto" w:sz="6" w:space="0"/>
                  <w:right w:val="single" w:color="auto" w:sz="6" w:space="0"/>
                </w:tcBorders>
              </w:tcPr>
              <w:p>
                <w:pPr>
                  <w:jc w:val="right"/>
                </w:pPr>
                <w:r>
                  <w:t>484,453.20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2700e40e30734ccda4fc19f6731bfd23"/>
                <w:id w:val="48136325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净利润</w:t>
                    </w:r>
                  </w:p>
                </w:tc>
              </w:sdtContent>
            </w:sdt>
            <w:tc>
              <w:tcPr>
                <w:tcW w:w="2552" w:type="dxa"/>
                <w:tcBorders>
                  <w:left w:val="single" w:color="auto" w:sz="6" w:space="0"/>
                  <w:right w:val="single" w:color="auto" w:sz="6" w:space="0"/>
                </w:tcBorders>
                <w:shd w:val="clear" w:color="auto" w:fill="auto"/>
              </w:tcPr>
              <w:p>
                <w:pPr>
                  <w:jc w:val="right"/>
                </w:pPr>
                <w:r>
                  <w:t>-264,841.70</w:t>
                </w:r>
              </w:p>
            </w:tc>
            <w:tc>
              <w:tcPr>
                <w:tcW w:w="2550" w:type="dxa"/>
                <w:tcBorders>
                  <w:top w:val="single" w:color="auto" w:sz="6" w:space="0"/>
                  <w:left w:val="single" w:color="auto" w:sz="6" w:space="0"/>
                  <w:bottom w:val="single" w:color="auto" w:sz="6" w:space="0"/>
                  <w:right w:val="single" w:color="auto" w:sz="6" w:space="0"/>
                </w:tcBorders>
              </w:tcPr>
              <w:p>
                <w:pPr>
                  <w:jc w:val="right"/>
                </w:pPr>
                <w:r>
                  <w:t>-1,285,098.86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7123283d145f4e83a026dd1ab301c96a"/>
                <w:id w:val="186940714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lang w:val="en-GB"/>
                      </w:rPr>
                    </w:pPr>
                    <w:r>
                      <w:rPr>
                        <w:rFonts w:hint="eastAsia" w:cs="Arial"/>
                        <w:color w:val="000000"/>
                        <w:lang w:val="en-GB"/>
                      </w:rPr>
                      <w:t>终止经营的净利润</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5e6a45abde34643910c58dce10e37dd"/>
                <w:id w:val="-49789332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其他综合收益</w:t>
                    </w:r>
                  </w:p>
                </w:tc>
              </w:sdtContent>
            </w:sdt>
            <w:tc>
              <w:tcPr>
                <w:tcW w:w="2552" w:type="dxa"/>
                <w:tcBorders>
                  <w:left w:val="single" w:color="auto" w:sz="6"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6"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6271de88b51495b853f579968062473"/>
                <w:id w:val="59412948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rPr>
                    </w:pPr>
                    <w:r>
                      <w:rPr>
                        <w:rFonts w:hint="eastAsia" w:cs="Arial"/>
                        <w:color w:val="000000"/>
                        <w:lang w:val="en-GB"/>
                      </w:rPr>
                      <w:t>综合收益总额</w:t>
                    </w:r>
                  </w:p>
                </w:tc>
              </w:sdtContent>
            </w:sdt>
            <w:tc>
              <w:tcPr>
                <w:tcW w:w="2552" w:type="dxa"/>
                <w:tcBorders>
                  <w:left w:val="single" w:color="auto" w:sz="6" w:space="0"/>
                  <w:right w:val="single" w:color="auto" w:sz="6" w:space="0"/>
                </w:tcBorders>
                <w:shd w:val="clear" w:color="auto" w:fill="auto"/>
              </w:tcPr>
              <w:p>
                <w:pPr>
                  <w:jc w:val="right"/>
                </w:pPr>
                <w:r>
                  <w:t>-264,841.70</w:t>
                </w:r>
              </w:p>
            </w:tc>
            <w:tc>
              <w:tcPr>
                <w:tcW w:w="2550" w:type="dxa"/>
                <w:tcBorders>
                  <w:top w:val="single" w:color="auto" w:sz="6" w:space="0"/>
                  <w:left w:val="single" w:color="auto" w:sz="6" w:space="0"/>
                  <w:bottom w:val="single" w:color="auto" w:sz="6" w:space="0"/>
                  <w:right w:val="single" w:color="auto" w:sz="6" w:space="0"/>
                </w:tcBorders>
              </w:tcPr>
              <w:p>
                <w:pPr>
                  <w:jc w:val="right"/>
                </w:pPr>
                <w:r>
                  <w:t>-1,285,098.86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4" w:space="0"/>
                  <w:right w:val="single" w:color="auto" w:sz="6" w:space="0"/>
                </w:tcBorders>
                <w:shd w:val="clear" w:color="auto" w:fill="auto"/>
                <w:vAlign w:val="bottom"/>
              </w:tcPr>
              <w:p>
                <w:pPr>
                  <w:rPr>
                    <w:rFonts w:cs="Arial"/>
                    <w:color w:val="000000"/>
                    <w:lang w:val="en-GB"/>
                  </w:rPr>
                </w:pPr>
              </w:p>
            </w:tc>
            <w:tc>
              <w:tcPr>
                <w:tcW w:w="2552" w:type="dxa"/>
                <w:tcBorders>
                  <w:left w:val="single" w:color="auto" w:sz="6" w:space="0"/>
                  <w:bottom w:val="single" w:color="auto" w:sz="4" w:space="0"/>
                  <w:right w:val="single" w:color="auto" w:sz="6" w:space="0"/>
                </w:tcBorders>
                <w:shd w:val="clear" w:color="auto" w:fill="auto"/>
              </w:tcPr>
              <w:p>
                <w:pPr>
                  <w:jc w:val="right"/>
                </w:pPr>
              </w:p>
            </w:tc>
            <w:tc>
              <w:tcPr>
                <w:tcW w:w="2550" w:type="dxa"/>
                <w:tcBorders>
                  <w:top w:val="single" w:color="auto" w:sz="6" w:space="0"/>
                  <w:left w:val="single" w:color="auto" w:sz="6" w:space="0"/>
                  <w:bottom w:val="single" w:color="auto" w:sz="4" w:space="0"/>
                  <w:right w:val="single" w:color="auto" w:sz="6"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5708a7f3d4a4100b1e84bcc428b4104"/>
                <w:id w:val="-349097393"/>
                <w:lock w:val="sdtLocked"/>
              </w:sdtPr>
              <w:sdtContent>
                <w:tc>
                  <w:tcPr>
                    <w:tcW w:w="3947" w:type="dxa"/>
                    <w:tcBorders>
                      <w:top w:val="single" w:color="auto" w:sz="6" w:space="0"/>
                      <w:left w:val="single" w:color="auto" w:sz="4" w:space="0"/>
                      <w:bottom w:val="single" w:color="auto" w:sz="4" w:space="0"/>
                      <w:right w:val="single" w:color="auto" w:sz="6" w:space="0"/>
                    </w:tcBorders>
                    <w:shd w:val="clear" w:color="auto" w:fill="auto"/>
                    <w:vAlign w:val="bottom"/>
                  </w:tcPr>
                  <w:p>
                    <w:pPr>
                      <w:rPr>
                        <w:rFonts w:cs="Arial"/>
                        <w:color w:val="000000"/>
                      </w:rPr>
                    </w:pPr>
                    <w:r>
                      <w:rPr>
                        <w:rFonts w:hint="eastAsia" w:cs="Arial"/>
                        <w:color w:val="000000"/>
                        <w:lang w:val="en-GB"/>
                      </w:rPr>
                      <w:t>本年度收到的来自联营企业的股利</w:t>
                    </w:r>
                  </w:p>
                </w:tc>
              </w:sdtContent>
            </w:sdt>
            <w:tc>
              <w:tcPr>
                <w:tcW w:w="2552" w:type="dxa"/>
                <w:tcBorders>
                  <w:left w:val="single" w:color="auto" w:sz="6" w:space="0"/>
                  <w:bottom w:val="single" w:color="auto" w:sz="4" w:space="0"/>
                  <w:right w:val="single" w:color="auto" w:sz="6" w:space="0"/>
                </w:tcBorders>
                <w:shd w:val="clear" w:color="auto" w:fill="auto"/>
              </w:tcPr>
              <w:p/>
            </w:tc>
            <w:tc>
              <w:tcPr>
                <w:tcW w:w="2550" w:type="dxa"/>
                <w:tcBorders>
                  <w:top w:val="single" w:color="auto" w:sz="6" w:space="0"/>
                  <w:left w:val="single" w:color="auto" w:sz="6" w:space="0"/>
                  <w:bottom w:val="single" w:color="auto" w:sz="4" w:space="0"/>
                  <w:right w:val="single" w:color="auto" w:sz="6" w:space="0"/>
                </w:tcBorders>
              </w:tcPr>
              <w:p/>
            </w:tc>
          </w:tr>
        </w:tbl>
        <w:p/>
      </w:sdtContent>
    </w:sdt>
    <w:p>
      <w:pPr>
        <w:pStyle w:val="76"/>
        <w:rPr>
          <w:rFonts w:cs="Arial"/>
          <w:szCs w:val="21"/>
        </w:rPr>
      </w:pPr>
    </w:p>
    <w:sdt>
      <w:sdtPr>
        <w:rPr>
          <w:rFonts w:cs="Arial"/>
          <w:szCs w:val="21"/>
        </w:rPr>
        <w:alias w:val="模块:重要联营企业的主要财务信息其他说明的方法"/>
        <w:tag w:val="_SEC_3191928276884aa0be18ac148aa436b7"/>
        <w:id w:val="25155823"/>
        <w:lock w:val="sdtLocked"/>
        <w:placeholder>
          <w:docPart w:val="GBC22222222222222222222222222222"/>
        </w:placeholder>
      </w:sdtPr>
      <w:sdtEndPr>
        <w:rPr>
          <w:rFonts w:cs="Arial"/>
          <w:szCs w:val="21"/>
        </w:rPr>
      </w:sdtEndPr>
      <w:sdtContent>
        <w:p>
          <w:pPr>
            <w:pStyle w:val="76"/>
            <w:rPr>
              <w:rFonts w:cs="Arial"/>
              <w:szCs w:val="21"/>
            </w:rPr>
          </w:pPr>
          <w:r>
            <w:rPr>
              <w:rFonts w:hint="eastAsia" w:cs="Arial"/>
              <w:szCs w:val="21"/>
            </w:rPr>
            <w:t>其他说明</w:t>
          </w:r>
        </w:p>
        <w:sdt>
          <w:sdtPr>
            <w:rPr>
              <w:rFonts w:hint="eastAsia" w:cs="Arial"/>
              <w:szCs w:val="21"/>
            </w:rPr>
            <w:alias w:val="重要联营企业的主要财务信息其他说明的方法"/>
            <w:tag w:val="_GBC_49602fee37fb4c848eee594868d16caa"/>
            <w:id w:val="25155822"/>
            <w:lock w:val="sdtLocked"/>
            <w:placeholder>
              <w:docPart w:val="GBC22222222222222222222222222222"/>
            </w:placeholder>
          </w:sdtPr>
          <w:sdtEndPr>
            <w:rPr>
              <w:rFonts w:hint="eastAsia" w:cs="Arial"/>
              <w:szCs w:val="21"/>
            </w:rPr>
          </w:sdtEndPr>
          <w:sdtContent>
            <w:p>
              <w:pPr>
                <w:pStyle w:val="76"/>
                <w:rPr>
                  <w:rFonts w:cs="Arial"/>
                  <w:szCs w:val="21"/>
                </w:rPr>
              </w:pPr>
              <w:r>
                <w:rPr>
                  <w:rFonts w:hint="eastAsia" w:cs="Arial"/>
                  <w:szCs w:val="21"/>
                </w:rPr>
                <w:t>无</w:t>
              </w:r>
            </w:p>
          </w:sdtContent>
        </w:sdt>
        <w:p>
          <w:pPr>
            <w:pStyle w:val="76"/>
            <w:rPr>
              <w:rFonts w:cs="Arial"/>
              <w:szCs w:val="21"/>
            </w:rPr>
          </w:pPr>
        </w:p>
      </w:sdtContent>
    </w:sdt>
    <w:sdt>
      <w:sdtPr>
        <w:rPr>
          <w:rFonts w:hint="eastAsia" w:ascii="宋体" w:hAnsi="宋体" w:cs="Arial"/>
          <w:b w:val="0"/>
          <w:bCs w:val="0"/>
          <w:kern w:val="0"/>
          <w:szCs w:val="21"/>
        </w:rPr>
        <w:alias w:val="模块:不重要的合营企业和联营企业的汇总财务信息"/>
        <w:tag w:val="_GBC_7592afe8201c4b36a34fa177ca124037"/>
        <w:id w:val="25155825"/>
        <w:lock w:val="sdtLocked"/>
        <w:placeholder>
          <w:docPart w:val="GBC22222222222222222222222222222"/>
        </w:placeholder>
      </w:sdtPr>
      <w:sdtEndPr>
        <w:rPr>
          <w:rFonts w:hint="default" w:ascii="宋体" w:hAnsi="宋体" w:cs="Arial"/>
          <w:b w:val="0"/>
          <w:bCs w:val="0"/>
          <w:kern w:val="0"/>
          <w:szCs w:val="21"/>
        </w:rPr>
      </w:sdtEndPr>
      <w:sdtContent>
        <w:p>
          <w:pPr>
            <w:pStyle w:val="80"/>
            <w:numPr>
              <w:ilvl w:val="3"/>
              <w:numId w:val="80"/>
            </w:numPr>
            <w:tabs>
              <w:tab w:val="left" w:pos="630"/>
            </w:tabs>
            <w:rPr>
              <w:rFonts w:ascii="宋体" w:hAnsi="宋体" w:cs="Arial"/>
              <w:szCs w:val="21"/>
            </w:rPr>
          </w:pPr>
          <w:r>
            <w:rPr>
              <w:rFonts w:hint="eastAsia" w:ascii="宋体" w:hAnsi="宋体" w:cs="Arial"/>
              <w:szCs w:val="21"/>
            </w:rPr>
            <w:t>不重要的合营企业和联营企业的汇总财务信息</w:t>
          </w:r>
        </w:p>
        <w:sdt>
          <w:sdtPr>
            <w:alias w:val="是否适用：不重要的合营企业和联营企业的汇总财务信息[双击切换]"/>
            <w:tag w:val="_GBC_eb809f81680b42f794ba04df499e52dc"/>
            <w:id w:val="2515582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szCs w:val="21"/>
        </w:rPr>
      </w:pPr>
    </w:p>
    <w:sdt>
      <w:sdtPr>
        <w:rPr>
          <w:rFonts w:hint="eastAsia" w:ascii="宋体" w:hAnsi="宋体" w:cs="Arial"/>
          <w:b w:val="0"/>
          <w:bCs w:val="0"/>
          <w:kern w:val="0"/>
          <w:szCs w:val="21"/>
        </w:rPr>
        <w:alias w:val="模块:合营企业或联营企业向公司转移资金的能力存在重大限制的说明"/>
        <w:tag w:val="_GBC_2874973c28b34357bf81a60947721baa"/>
        <w:id w:val="25155827"/>
        <w:lock w:val="sdtLocked"/>
        <w:placeholder>
          <w:docPart w:val="GBC22222222222222222222222222222"/>
        </w:placeholder>
      </w:sdtPr>
      <w:sdtEndPr>
        <w:rPr>
          <w:rFonts w:hint="eastAsia" w:ascii="宋体" w:hAnsi="宋体" w:cs="Arial"/>
          <w:b w:val="0"/>
          <w:bCs w:val="0"/>
          <w:kern w:val="0"/>
          <w:szCs w:val="21"/>
        </w:rPr>
      </w:sdtEndPr>
      <w:sdtContent>
        <w:p>
          <w:pPr>
            <w:pStyle w:val="80"/>
            <w:numPr>
              <w:ilvl w:val="3"/>
              <w:numId w:val="80"/>
            </w:numPr>
            <w:tabs>
              <w:tab w:val="left" w:pos="630"/>
            </w:tabs>
            <w:rPr>
              <w:rFonts w:ascii="宋体" w:hAnsi="宋体" w:cs="Arial"/>
              <w:szCs w:val="21"/>
            </w:rPr>
          </w:pPr>
          <w:r>
            <w:rPr>
              <w:rFonts w:hint="eastAsia" w:ascii="宋体" w:hAnsi="宋体" w:cs="Arial"/>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2515582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sdt>
      <w:sdtPr>
        <w:rPr>
          <w:rFonts w:hint="eastAsia" w:ascii="宋体" w:hAnsi="宋体" w:cs="Arial"/>
          <w:b w:val="0"/>
          <w:bCs w:val="0"/>
          <w:kern w:val="0"/>
          <w:szCs w:val="21"/>
        </w:rPr>
        <w:alias w:val="模块:合营企业或联营企业发生的超额亏损"/>
        <w:tag w:val="_GBC_a9980062c82d44acae24fae7368ea42f"/>
        <w:id w:val="25155829"/>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3"/>
              <w:numId w:val="80"/>
            </w:numPr>
            <w:tabs>
              <w:tab w:val="left" w:pos="630"/>
            </w:tabs>
            <w:rPr>
              <w:rFonts w:ascii="宋体" w:hAnsi="宋体" w:cs="Arial"/>
              <w:szCs w:val="21"/>
            </w:rPr>
          </w:pPr>
          <w:r>
            <w:rPr>
              <w:rFonts w:hint="eastAsia" w:ascii="宋体" w:hAnsi="宋体" w:cs="Arial"/>
              <w:szCs w:val="21"/>
            </w:rPr>
            <w:t>合营企业或联营企业发生的超额亏损</w:t>
          </w:r>
        </w:p>
        <w:sdt>
          <w:sdtPr>
            <w:alias w:val="是否适用：合营企业或联营企业发生的超额亏损[双击切换]"/>
            <w:tag w:val="_GBC_c30af0beca864d788c2fe12f47f13428"/>
            <w:id w:val="2515582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szCs w:val="21"/>
        </w:rPr>
      </w:pPr>
    </w:p>
    <w:sdt>
      <w:sdtPr>
        <w:rPr>
          <w:rFonts w:hint="eastAsia" w:ascii="宋体" w:hAnsi="宋体" w:cs="Arial"/>
          <w:b w:val="0"/>
          <w:bCs w:val="0"/>
          <w:kern w:val="0"/>
          <w:szCs w:val="21"/>
        </w:rPr>
        <w:alias w:val="模块:与合营企业投资相关的未确认承诺"/>
        <w:tag w:val="_GBC_da055842bf8c4e9598b87bd760d969ec"/>
        <w:id w:val="25155831"/>
        <w:lock w:val="sdtLocked"/>
        <w:placeholder>
          <w:docPart w:val="GBC22222222222222222222222222222"/>
        </w:placeholder>
      </w:sdtPr>
      <w:sdtEndPr>
        <w:rPr>
          <w:rFonts w:hint="eastAsia" w:ascii="宋体" w:hAnsi="宋体" w:cs="Arial"/>
          <w:b w:val="0"/>
          <w:bCs w:val="0"/>
          <w:kern w:val="0"/>
          <w:szCs w:val="21"/>
        </w:rPr>
      </w:sdtEndPr>
      <w:sdtContent>
        <w:p>
          <w:pPr>
            <w:pStyle w:val="80"/>
            <w:numPr>
              <w:ilvl w:val="3"/>
              <w:numId w:val="80"/>
            </w:numPr>
            <w:tabs>
              <w:tab w:val="left" w:pos="630"/>
            </w:tabs>
            <w:rPr>
              <w:rFonts w:cs="Arial"/>
              <w:szCs w:val="21"/>
            </w:rPr>
          </w:pPr>
          <w:r>
            <w:rPr>
              <w:rFonts w:hint="eastAsia" w:cs="Arial"/>
              <w:szCs w:val="21"/>
            </w:rPr>
            <w:t>与合营企业</w:t>
          </w:r>
          <w:r>
            <w:rPr>
              <w:rFonts w:hint="eastAsia" w:ascii="宋体" w:hAnsi="宋体" w:cs="Arial"/>
              <w:szCs w:val="21"/>
            </w:rPr>
            <w:t>投资</w:t>
          </w:r>
          <w:r>
            <w:rPr>
              <w:rFonts w:hint="eastAsia" w:cs="Arial"/>
              <w:szCs w:val="21"/>
            </w:rPr>
            <w:t>相关的未确认承诺</w:t>
          </w:r>
        </w:p>
        <w:sdt>
          <w:sdtPr>
            <w:alias w:val="是否适用：与合营企业投资相关的未确认承诺[双击切换]"/>
            <w:tag w:val="_GBC_9d014d8b476148b59476808a5cda81d8"/>
            <w:id w:val="25155830"/>
            <w:lock w:val="sdtContentLocked"/>
            <w:placeholder>
              <w:docPart w:val="GBC22222222222222222222222222222"/>
            </w:placeholder>
          </w:sdtPr>
          <w:sdtContent>
            <w:p>
              <w:pPr>
                <w:pStyle w:val="76"/>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cs="Arial"/>
          <w:szCs w:val="21"/>
        </w:rPr>
      </w:pPr>
    </w:p>
    <w:sdt>
      <w:sdtPr>
        <w:rPr>
          <w:rFonts w:hint="eastAsia" w:ascii="宋体" w:hAnsi="宋体" w:cs="Arial"/>
          <w:b w:val="0"/>
          <w:bCs w:val="0"/>
          <w:kern w:val="0"/>
          <w:szCs w:val="21"/>
        </w:rPr>
        <w:alias w:val="模块:与合营企业或联营企业投资相关的或有负债"/>
        <w:tag w:val="_GBC_1f803def681a42ba91cdde709a067b3f"/>
        <w:id w:val="25155833"/>
        <w:lock w:val="sdtLocked"/>
        <w:placeholder>
          <w:docPart w:val="GBC22222222222222222222222222222"/>
        </w:placeholder>
      </w:sdtPr>
      <w:sdtEndPr>
        <w:rPr>
          <w:rFonts w:hint="eastAsia" w:ascii="宋体" w:hAnsi="宋体" w:cs="Arial"/>
          <w:b w:val="0"/>
          <w:bCs w:val="0"/>
          <w:kern w:val="0"/>
          <w:szCs w:val="21"/>
        </w:rPr>
      </w:sdtEndPr>
      <w:sdtContent>
        <w:p>
          <w:pPr>
            <w:pStyle w:val="80"/>
            <w:numPr>
              <w:ilvl w:val="3"/>
              <w:numId w:val="80"/>
            </w:numPr>
            <w:tabs>
              <w:tab w:val="left" w:pos="630"/>
            </w:tabs>
            <w:rPr>
              <w:rFonts w:cs="Arial"/>
              <w:szCs w:val="21"/>
            </w:rPr>
          </w:pPr>
          <w:r>
            <w:rPr>
              <w:rFonts w:hint="eastAsia" w:cs="Arial"/>
              <w:szCs w:val="21"/>
            </w:rPr>
            <w:t>与合营企业或联营企业投资相关的或有负债</w:t>
          </w:r>
        </w:p>
        <w:sdt>
          <w:sdtPr>
            <w:alias w:val="是否适用：与合营企业或联营企业投资相关的或有负债[双击切换]"/>
            <w:tag w:val="_GBC_caba618be81b4cb1acf89073549a456a"/>
            <w:id w:val="25155832"/>
            <w:lock w:val="sdtContentLocked"/>
            <w:placeholder>
              <w:docPart w:val="GBC22222222222222222222222222222"/>
            </w:placeholder>
          </w:sdtPr>
          <w:sdtContent>
            <w:p>
              <w:pPr>
                <w:pStyle w:val="76"/>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rFonts w:cs="Arial"/>
          <w:szCs w:val="21"/>
        </w:rPr>
      </w:pPr>
    </w:p>
    <w:sdt>
      <w:sdtPr>
        <w:rPr>
          <w:rFonts w:hint="eastAsia" w:ascii="宋体" w:hAnsi="宋体" w:cs="Arial"/>
          <w:b w:val="0"/>
          <w:bCs w:val="0"/>
          <w:kern w:val="0"/>
          <w:szCs w:val="21"/>
        </w:rPr>
        <w:alias w:val="模块:重要的共同经营"/>
        <w:tag w:val="_GBC_90d44eb1222944759107483908112493"/>
        <w:id w:val="25155835"/>
        <w:lock w:val="sdtLocked"/>
        <w:placeholder>
          <w:docPart w:val="GBC22222222222222222222222222222"/>
        </w:placeholder>
      </w:sdtPr>
      <w:sdtEndPr>
        <w:rPr>
          <w:rFonts w:hint="default" w:ascii="宋体" w:hAnsi="宋体" w:cstheme="minorBidi"/>
          <w:b w:val="0"/>
          <w:bCs w:val="0"/>
          <w:kern w:val="0"/>
          <w:szCs w:val="21"/>
        </w:rPr>
      </w:sdtEndPr>
      <w:sdtContent>
        <w:p>
          <w:pPr>
            <w:pStyle w:val="79"/>
            <w:numPr>
              <w:ilvl w:val="2"/>
              <w:numId w:val="78"/>
            </w:numPr>
            <w:rPr>
              <w:rFonts w:ascii="宋体" w:hAnsi="宋体" w:cs="Arial"/>
              <w:szCs w:val="21"/>
            </w:rPr>
          </w:pPr>
          <w:r>
            <w:rPr>
              <w:rFonts w:hint="eastAsia" w:ascii="宋体" w:hAnsi="宋体" w:cs="Arial"/>
              <w:szCs w:val="21"/>
            </w:rPr>
            <w:t>重要的共同经营</w:t>
          </w:r>
        </w:p>
        <w:sdt>
          <w:sdtPr>
            <w:alias w:val="是否适用：重要的共同经营[双击切换]"/>
            <w:tag w:val="_GBC_7911b1c8195d4c20b2800b1c5ac94a93"/>
            <w:id w:val="2515583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Arial"/>
              <w:szCs w:val="21"/>
            </w:rPr>
          </w:pPr>
        </w:p>
      </w:sdtContent>
    </w:sdt>
    <w:p>
      <w:pPr>
        <w:pStyle w:val="76"/>
        <w:rPr>
          <w:rFonts w:cs="Arial"/>
          <w:szCs w:val="21"/>
        </w:rPr>
      </w:pPr>
    </w:p>
    <w:sdt>
      <w:sdtPr>
        <w:rPr>
          <w:rFonts w:hint="eastAsia" w:ascii="宋体" w:hAnsi="宋体" w:cs="Arial"/>
          <w:b w:val="0"/>
          <w:bCs w:val="0"/>
          <w:kern w:val="0"/>
          <w:szCs w:val="21"/>
        </w:rPr>
        <w:alias w:val="模块:在未纳入合并财务报表范围的结构化主体中的权益"/>
        <w:tag w:val="_GBC_5cfea65e45c44f1b9fdec762be35880d"/>
        <w:id w:val="25155837"/>
        <w:lock w:val="sdtLocked"/>
        <w:placeholder>
          <w:docPart w:val="GBC22222222222222222222222222222"/>
        </w:placeholder>
      </w:sdtPr>
      <w:sdtEndPr>
        <w:rPr>
          <w:rFonts w:hint="eastAsia" w:ascii="宋体" w:hAnsi="宋体" w:cs="Arial"/>
          <w:b w:val="0"/>
          <w:bCs w:val="0"/>
          <w:kern w:val="0"/>
          <w:szCs w:val="21"/>
        </w:rPr>
      </w:sdtEndPr>
      <w:sdtContent>
        <w:p>
          <w:pPr>
            <w:pStyle w:val="79"/>
            <w:numPr>
              <w:ilvl w:val="2"/>
              <w:numId w:val="78"/>
            </w:numPr>
            <w:rPr>
              <w:rFonts w:ascii="宋体" w:hAnsi="宋体" w:cs="Arial"/>
              <w:szCs w:val="21"/>
            </w:rPr>
          </w:pPr>
          <w:r>
            <w:rPr>
              <w:rFonts w:hint="eastAsia" w:ascii="宋体" w:hAnsi="宋体" w:cs="Arial"/>
              <w:szCs w:val="21"/>
            </w:rPr>
            <w:t>在未纳入合并财务报表范围的结构化主体中的权益</w:t>
          </w:r>
        </w:p>
        <w:p>
          <w:pPr>
            <w:pStyle w:val="76"/>
            <w:rPr>
              <w:rFonts w:cs="Arial"/>
              <w:szCs w:val="21"/>
            </w:rPr>
          </w:pPr>
          <w:r>
            <w:rPr>
              <w:rFonts w:hint="eastAsia" w:cs="Arial"/>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25155836"/>
            <w:lock w:val="sdtContentLocked"/>
            <w:placeholder>
              <w:docPart w:val="GBC22222222222222222222222222222"/>
            </w:placeholder>
          </w:sdtPr>
          <w:sdtEndPr>
            <w:rPr>
              <w:rFonts w:cs="Arial"/>
              <w:szCs w:val="21"/>
            </w:rPr>
          </w:sdtEndPr>
          <w:sdtContent>
            <w:p>
              <w:pPr>
                <w:pStyle w:val="76"/>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pStyle w:val="76"/>
            <w:rPr>
              <w:rFonts w:cs="Arial"/>
              <w:szCs w:val="21"/>
            </w:rPr>
          </w:pPr>
        </w:p>
      </w:sdtContent>
    </w:sdt>
    <w:sdt>
      <w:sdtPr>
        <w:rPr>
          <w:rFonts w:hint="eastAsia" w:ascii="宋体" w:hAnsi="宋体" w:cs="Arial"/>
          <w:b w:val="0"/>
          <w:bCs w:val="0"/>
          <w:kern w:val="0"/>
          <w:szCs w:val="21"/>
        </w:rPr>
        <w:alias w:val="模块:在其他主体中的权益其他需要说明的事项"/>
        <w:tag w:val="_GBC_b24eb633f5244c748225389f3b3cedd1"/>
        <w:id w:val="25155839"/>
        <w:lock w:val="sdtLocked"/>
        <w:placeholder>
          <w:docPart w:val="GBC22222222222222222222222222222"/>
        </w:placeholder>
      </w:sdtPr>
      <w:sdtEndPr>
        <w:rPr>
          <w:rFonts w:hint="eastAsia" w:ascii="宋体" w:hAnsi="宋体" w:cs="Arial"/>
          <w:b w:val="0"/>
          <w:bCs w:val="0"/>
          <w:kern w:val="0"/>
          <w:szCs w:val="21"/>
        </w:rPr>
      </w:sdtEndPr>
      <w:sdtContent>
        <w:p>
          <w:pPr>
            <w:pStyle w:val="79"/>
            <w:numPr>
              <w:ilvl w:val="2"/>
              <w:numId w:val="78"/>
            </w:numPr>
            <w:rPr>
              <w:rFonts w:ascii="宋体" w:hAnsi="宋体" w:cs="Arial"/>
              <w:szCs w:val="21"/>
            </w:rPr>
          </w:pPr>
          <w:r>
            <w:rPr>
              <w:rFonts w:hint="eastAsia" w:ascii="宋体" w:hAnsi="宋体" w:cs="Arial"/>
              <w:szCs w:val="21"/>
            </w:rPr>
            <w:t>其他</w:t>
          </w:r>
        </w:p>
        <w:sdt>
          <w:sdtPr>
            <w:alias w:val="是否适用：在其他主体中的权益其他需要说明的事项[双击切换]"/>
            <w:tag w:val="_GBC_ad8b7a7df0724efaa681a931c91befff"/>
            <w:id w:val="251558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sdt>
      <w:sdtPr>
        <w:rPr>
          <w:rFonts w:hint="eastAsia" w:ascii="宋体" w:hAnsi="宋体" w:cs="宋体"/>
          <w:b w:val="0"/>
          <w:bCs w:val="0"/>
          <w:kern w:val="0"/>
          <w:szCs w:val="24"/>
        </w:rPr>
        <w:alias w:val="模块:与金融工具相关的风险"/>
        <w:tag w:val="_GBC_815d628fea814e7191d23a3fcbe2783c"/>
        <w:id w:val="25155842"/>
        <w:lock w:val="sdtLocked"/>
        <w:placeholder>
          <w:docPart w:val="GBC22222222222222222222222222222"/>
        </w:placeholder>
      </w:sdtPr>
      <w:sdtEndPr>
        <w:rPr>
          <w:rFonts w:hint="eastAsia" w:ascii="宋体" w:hAnsi="宋体" w:cs="宋体"/>
          <w:b w:val="0"/>
          <w:bCs w:val="0"/>
          <w:kern w:val="0"/>
          <w:szCs w:val="24"/>
        </w:rPr>
      </w:sdtEndPr>
      <w:sdtContent>
        <w:p>
          <w:pPr>
            <w:pStyle w:val="78"/>
            <w:numPr>
              <w:ilvl w:val="0"/>
              <w:numId w:val="34"/>
            </w:numPr>
            <w:rPr>
              <w:rFonts w:ascii="宋体" w:hAnsi="宋体"/>
            </w:rPr>
          </w:pPr>
          <w:r>
            <w:rPr>
              <w:rFonts w:hint="eastAsia" w:ascii="宋体" w:hAnsi="宋体"/>
            </w:rPr>
            <w:t>与金融工具相关的风险</w:t>
          </w:r>
        </w:p>
        <w:sdt>
          <w:sdtPr>
            <w:alias w:val="是否适用：与金融工具相关的风险[双击切换]"/>
            <w:tag w:val="_GBC_c64d1e82474c4f20aebea3bef4cc2f0f"/>
            <w:id w:val="2515584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25155841"/>
            <w:lock w:val="sdtLocked"/>
            <w:placeholder>
              <w:docPart w:val="GBC22222222222222222222222222222"/>
            </w:placeholder>
          </w:sdtPr>
          <w:sdtEndPr>
            <w:rPr>
              <w:b/>
              <w:szCs w:val="21"/>
            </w:rPr>
          </w:sdtEndPr>
          <w:sdtContent>
            <w:p>
              <w:pPr>
                <w:pStyle w:val="76"/>
                <w:rPr>
                  <w:szCs w:val="21"/>
                </w:rPr>
              </w:pPr>
              <w:r>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pPr>
                <w:pStyle w:val="76"/>
                <w:rPr>
                  <w:szCs w:val="21"/>
                </w:rPr>
              </w:pPr>
              <w:r>
                <w:rPr>
                  <w:szCs w:val="21"/>
                </w:rPr>
                <w:t>1、汇率风险</w:t>
              </w:r>
            </w:p>
            <w:p>
              <w:pPr>
                <w:pStyle w:val="76"/>
                <w:rPr>
                  <w:szCs w:val="21"/>
                </w:rPr>
              </w:pPr>
              <w:r>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pPr>
                <w:pStyle w:val="76"/>
                <w:rPr>
                  <w:szCs w:val="21"/>
                </w:rPr>
              </w:pPr>
              <w:r>
                <w:rPr>
                  <w:szCs w:val="21"/>
                </w:rPr>
                <w:t>2、信用风险</w:t>
              </w:r>
            </w:p>
            <w:p>
              <w:pPr>
                <w:pStyle w:val="76"/>
                <w:rPr>
                  <w:szCs w:val="21"/>
                </w:rPr>
              </w:pPr>
              <w:r>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pPr>
                <w:pStyle w:val="76"/>
                <w:rPr>
                  <w:szCs w:val="21"/>
                </w:rPr>
              </w:pPr>
              <w:r>
                <w:rPr>
                  <w:szCs w:val="21"/>
                </w:rPr>
                <w:t>3、流动风险</w:t>
              </w:r>
            </w:p>
            <w:p>
              <w:pPr>
                <w:pStyle w:val="76"/>
                <w:rPr>
                  <w:szCs w:val="21"/>
                </w:rPr>
              </w:pPr>
              <w:r>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p>
              <w:pPr>
                <w:pStyle w:val="76"/>
                <w:rPr>
                  <w:b/>
                  <w:szCs w:val="21"/>
                </w:rPr>
              </w:pPr>
            </w:p>
          </w:sdtContent>
        </w:sdt>
        <w:p>
          <w:pPr>
            <w:pStyle w:val="76"/>
            <w:rPr>
              <w:color w:val="808080"/>
              <w:szCs w:val="21"/>
            </w:rPr>
          </w:pPr>
        </w:p>
      </w:sdtContent>
    </w:sdt>
    <w:p>
      <w:pPr>
        <w:pStyle w:val="78"/>
        <w:numPr>
          <w:ilvl w:val="0"/>
          <w:numId w:val="34"/>
        </w:numPr>
        <w:rPr>
          <w:rFonts w:ascii="宋体" w:hAnsi="宋体"/>
        </w:rPr>
      </w:pPr>
      <w:r>
        <w:rPr>
          <w:rFonts w:hint="eastAsia" w:ascii="宋体" w:hAnsi="宋体"/>
        </w:rPr>
        <w:t>公允价值的披露</w:t>
      </w:r>
    </w:p>
    <w:sdt>
      <w:sdtPr>
        <w:rPr>
          <w:rFonts w:hint="eastAsia" w:ascii="宋体" w:hAnsi="宋体" w:cs="宋体"/>
          <w:b w:val="0"/>
          <w:bCs w:val="0"/>
          <w:kern w:val="0"/>
          <w:szCs w:val="24"/>
        </w:rPr>
        <w:alias w:val="模块:以公允价值计量的资产和负债的期末公允价值"/>
        <w:tag w:val="_GBC_b5067cea5bbf475388ac2623e2c669d7"/>
        <w:id w:val="25155844"/>
        <w:lock w:val="sdtLocked"/>
        <w:placeholder>
          <w:docPart w:val="GBC22222222222222222222222222222"/>
        </w:placeholder>
      </w:sdtPr>
      <w:sdtEndPr>
        <w:rPr>
          <w:rFonts w:hint="eastAsia" w:ascii="宋体" w:hAnsi="宋体" w:cstheme="minorBidi"/>
          <w:b w:val="0"/>
          <w:bCs w:val="0"/>
          <w:kern w:val="0"/>
          <w:szCs w:val="21"/>
        </w:rPr>
      </w:sdtEndPr>
      <w:sdtContent>
        <w:p>
          <w:pPr>
            <w:pStyle w:val="79"/>
            <w:numPr>
              <w:ilvl w:val="0"/>
              <w:numId w:val="81"/>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25155843"/>
            <w:lock w:val="sdtContentLocked"/>
            <w:placeholder>
              <w:docPart w:val="GBC22222222222222222222222222222"/>
            </w:placeholder>
          </w:sdtPr>
          <w:sdtContent>
            <w:p>
              <w:pPr>
                <w:pStyle w:val="76"/>
                <w:rPr>
                  <w:rFonts w:cs="Cambria"/>
                  <w:b/>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Arial"/>
          <w:b w:val="0"/>
          <w:bCs w:val="0"/>
          <w:kern w:val="0"/>
          <w:szCs w:val="21"/>
        </w:rPr>
        <w:alias w:val="模块:持续和非持续第一层次公允价值计量项目市价的确定依据"/>
        <w:tag w:val="_GBC_9cf59ced96b14247921100dffef5784f"/>
        <w:id w:val="25155846"/>
        <w:lock w:val="sdtLocked"/>
        <w:placeholder>
          <w:docPart w:val="GBC22222222222222222222222222222"/>
        </w:placeholder>
      </w:sdtPr>
      <w:sdtEndPr>
        <w:rPr>
          <w:rFonts w:hint="eastAsia" w:ascii="宋体" w:hAnsi="宋体" w:cs="Cambria"/>
          <w:b/>
          <w:bCs w:val="0"/>
          <w:kern w:val="0"/>
          <w:szCs w:val="21"/>
        </w:rPr>
      </w:sdtEndPr>
      <w:sdtContent>
        <w:p>
          <w:pPr>
            <w:pStyle w:val="79"/>
            <w:numPr>
              <w:ilvl w:val="0"/>
              <w:numId w:val="81"/>
            </w:numPr>
            <w:rPr>
              <w:rFonts w:ascii="宋体" w:hAnsi="宋体" w:cs="Arial"/>
              <w:szCs w:val="21"/>
            </w:rPr>
          </w:pPr>
          <w:r>
            <w:rPr>
              <w:rFonts w:hint="eastAsia" w:ascii="宋体" w:hAnsi="宋体" w:cs="Arial"/>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25155845"/>
            <w:lock w:val="sdtContentLocked"/>
            <w:placeholder>
              <w:docPart w:val="GBC22222222222222222222222222222"/>
            </w:placeholder>
          </w:sdtPr>
          <w:sdtContent>
            <w:p>
              <w:pPr>
                <w:pStyle w:val="76"/>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tabs>
              <w:tab w:val="left" w:pos="1134"/>
            </w:tabs>
            <w:rPr>
              <w:rFonts w:cs="Cambria"/>
              <w:b/>
              <w:szCs w:val="21"/>
            </w:rPr>
          </w:pPr>
        </w:p>
      </w:sdtContent>
    </w:sdt>
    <w:sdt>
      <w:sdtPr>
        <w:rPr>
          <w:rFonts w:hint="eastAsia" w:ascii="宋体" w:hAnsi="宋体" w:cs="Arial"/>
          <w:b w:val="0"/>
          <w:bCs w:val="0"/>
          <w:kern w:val="0"/>
          <w:szCs w:val="21"/>
        </w:rPr>
        <w:alias w:val="模块:持续和非持续第二层次公允价值计量项目，采用的估值技术和重要参数的定性及定量信息"/>
        <w:tag w:val="_GBC_8e00be36ed6245f895b032b3059a4854"/>
        <w:id w:val="25155848"/>
        <w:lock w:val="sdtLocked"/>
        <w:placeholder>
          <w:docPart w:val="GBC22222222222222222222222222222"/>
        </w:placeholder>
      </w:sdtPr>
      <w:sdtEndPr>
        <w:rPr>
          <w:rFonts w:hint="default" w:ascii="宋体" w:hAnsi="宋体" w:cs="Cambria"/>
          <w:b w:val="0"/>
          <w:bCs w:val="0"/>
          <w:kern w:val="0"/>
          <w:szCs w:val="21"/>
        </w:rPr>
      </w:sdtEndPr>
      <w:sdtContent>
        <w:p>
          <w:pPr>
            <w:pStyle w:val="79"/>
            <w:numPr>
              <w:ilvl w:val="0"/>
              <w:numId w:val="81"/>
            </w:numPr>
          </w:pPr>
          <w:r>
            <w:rPr>
              <w:rFonts w:hint="eastAsia" w:ascii="宋体" w:hAnsi="宋体" w:cs="Arial"/>
              <w:szCs w:val="21"/>
            </w:rPr>
            <w:t>持续和非持续第二层次公允价值计量项目，采用的估值技术和重要参数的定性及定量信息</w:t>
          </w:r>
        </w:p>
        <w:sdt>
          <w:sdtPr>
            <w:rPr>
              <w:rFonts w:hint="eastAsia" w:cs="Cambria"/>
              <w:szCs w:val="21"/>
            </w:rPr>
            <w:alias w:val="是否适用：持续和非持续第二层次公允价值计量项目，采用的估值技术和重要参数的定性及定量信息[双击切换]"/>
            <w:tag w:val="_GBC_8bee9b1c9bf241d5ae1f2c4578fc3b6c"/>
            <w:id w:val="25155847"/>
            <w:lock w:val="sdtContentLocked"/>
            <w:placeholder>
              <w:docPart w:val="GBC22222222222222222222222222222"/>
            </w:placeholder>
          </w:sdtPr>
          <w:sdtEndPr>
            <w:rPr>
              <w:rFonts w:hint="eastAsia" w:cs="Cambria"/>
              <w:szCs w:val="21"/>
            </w:rPr>
          </w:sdtEndPr>
          <w:sdtContent>
            <w:p>
              <w:pPr>
                <w:pStyle w:val="76"/>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Content>
    </w:sdt>
    <w:p>
      <w:pPr>
        <w:pStyle w:val="76"/>
        <w:rPr>
          <w:szCs w:val="21"/>
        </w:rPr>
      </w:pPr>
    </w:p>
    <w:sdt>
      <w:sdtPr>
        <w:rPr>
          <w:rFonts w:hint="eastAsia" w:ascii="宋体" w:hAnsi="宋体" w:cs="Arial"/>
          <w:b w:val="0"/>
          <w:bCs w:val="0"/>
          <w:kern w:val="0"/>
          <w:szCs w:val="21"/>
        </w:rPr>
        <w:alias w:val="模块:持续和非持续第三层次公允价值计量项目，采用的估值技术和重要参数的定性及定量信息"/>
        <w:tag w:val="_GBC_5d389bac3ad747a292eb45fd87ce5896"/>
        <w:id w:val="25155850"/>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79"/>
            <w:numPr>
              <w:ilvl w:val="0"/>
              <w:numId w:val="81"/>
            </w:numPr>
          </w:pPr>
          <w:r>
            <w:rPr>
              <w:rFonts w:hint="eastAsia" w:ascii="宋体" w:hAnsi="宋体" w:cs="Arial"/>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2515584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tabs>
              <w:tab w:val="left" w:pos="1134"/>
            </w:tabs>
            <w:rPr>
              <w:rFonts w:cs="Cambria"/>
              <w:b/>
              <w:szCs w:val="21"/>
            </w:rPr>
          </w:pPr>
        </w:p>
      </w:sdtContent>
    </w:sdt>
    <w:sdt>
      <w:sdtPr>
        <w:rPr>
          <w:rFonts w:hint="eastAsia" w:ascii="宋体" w:hAnsi="宋体" w:cs="宋体"/>
          <w:b w:val="0"/>
          <w:bCs w:val="0"/>
          <w:kern w:val="0"/>
          <w:szCs w:val="24"/>
        </w:rPr>
        <w:alias w:val="模块:持续的第三层次公允价值计量的项目期初与期末账面价值之间的调节信息及不可观察参数的敏感性分析"/>
        <w:tag w:val="_GBC_353ab3e0cb19455ab2c2c2a397421afe"/>
        <w:id w:val="25155852"/>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79"/>
            <w:numPr>
              <w:ilvl w:val="0"/>
              <w:numId w:val="81"/>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25155851"/>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tabs>
              <w:tab w:val="left" w:pos="1134"/>
            </w:tabs>
            <w:rPr>
              <w:rFonts w:cs="Cambria"/>
              <w:b/>
              <w:szCs w:val="21"/>
            </w:rPr>
          </w:pPr>
        </w:p>
      </w:sdtContent>
    </w:sdt>
    <w:sdt>
      <w:sdtPr>
        <w:rPr>
          <w:rFonts w:hint="eastAsia" w:ascii="宋体" w:hAnsi="宋体" w:cs="宋体"/>
          <w:b w:val="0"/>
          <w:bCs w:val="0"/>
          <w:kern w:val="0"/>
          <w:szCs w:val="24"/>
        </w:rPr>
        <w:alias w:val="模块:持续的公允价值计量项目，本期内发生各层级之间转换的，转换的原因及确定转换时点的政策"/>
        <w:tag w:val="_GBC_a9200ec73b8d485e80b76f1a9ee34c49"/>
        <w:id w:val="25155854"/>
        <w:lock w:val="sdtLocked"/>
        <w:placeholder>
          <w:docPart w:val="GBC22222222222222222222222222222"/>
        </w:placeholder>
      </w:sdtPr>
      <w:sdtEndPr>
        <w:rPr>
          <w:rFonts w:hint="eastAsia" w:ascii="宋体" w:hAnsi="宋体" w:cs="Cambria"/>
          <w:b w:val="0"/>
          <w:bCs w:val="0"/>
          <w:kern w:val="0"/>
          <w:szCs w:val="21"/>
        </w:rPr>
      </w:sdtEndPr>
      <w:sdtContent>
        <w:p>
          <w:pPr>
            <w:pStyle w:val="79"/>
            <w:numPr>
              <w:ilvl w:val="0"/>
              <w:numId w:val="81"/>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25155853"/>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tabs>
              <w:tab w:val="left" w:pos="1134"/>
            </w:tabs>
            <w:rPr>
              <w:rFonts w:cs="Cambria"/>
              <w:b/>
              <w:szCs w:val="21"/>
            </w:rPr>
          </w:pPr>
        </w:p>
      </w:sdtContent>
    </w:sdt>
    <w:sdt>
      <w:sdtPr>
        <w:rPr>
          <w:rFonts w:hint="eastAsia" w:ascii="宋体" w:hAnsi="宋体" w:cs="宋体"/>
          <w:b w:val="0"/>
          <w:bCs w:val="0"/>
          <w:kern w:val="0"/>
          <w:szCs w:val="24"/>
        </w:rPr>
        <w:alias w:val="模块:本期内发生的估值技术变更及变更原因"/>
        <w:tag w:val="_GBC_8e563310a4b84a5d9dfe74fdbc178926"/>
        <w:id w:val="25155856"/>
        <w:lock w:val="sdtLocked"/>
        <w:placeholder>
          <w:docPart w:val="GBC22222222222222222222222222222"/>
        </w:placeholder>
      </w:sdtPr>
      <w:sdtEndPr>
        <w:rPr>
          <w:rFonts w:hint="eastAsia" w:ascii="宋体" w:hAnsi="宋体" w:cstheme="minorBidi"/>
          <w:b w:val="0"/>
          <w:bCs w:val="0"/>
          <w:kern w:val="0"/>
          <w:szCs w:val="21"/>
        </w:rPr>
      </w:sdtEndPr>
      <w:sdtContent>
        <w:p>
          <w:pPr>
            <w:pStyle w:val="79"/>
            <w:numPr>
              <w:ilvl w:val="0"/>
              <w:numId w:val="81"/>
            </w:numPr>
          </w:pPr>
          <w:r>
            <w:rPr>
              <w:rFonts w:hint="eastAsia"/>
            </w:rPr>
            <w:t>本期内发生的估值技术变更及变更原因</w:t>
          </w:r>
        </w:p>
        <w:sdt>
          <w:sdtPr>
            <w:alias w:val="是否适用：本期内发生的估值技术变更及变更原因[双击切换]"/>
            <w:tag w:val="_GBC_b070160060a9485c87417fe5a8b5e02f"/>
            <w:id w:val="2515585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theme="minorBidi"/>
              <w:szCs w:val="21"/>
            </w:rPr>
          </w:pPr>
        </w:p>
      </w:sdtContent>
    </w:sdt>
    <w:sdt>
      <w:sdtPr>
        <w:rPr>
          <w:rFonts w:hint="eastAsia" w:ascii="宋体" w:hAnsi="宋体" w:cstheme="minorBidi"/>
          <w:b w:val="0"/>
          <w:bCs w:val="0"/>
          <w:kern w:val="0"/>
          <w:szCs w:val="21"/>
        </w:rPr>
        <w:alias w:val="模块:不以公允价值计量的金融资产和金融负债的公允价值情况"/>
        <w:tag w:val="_GBC_e354e1f41f824854b8f3345d52a9cfab"/>
        <w:id w:val="25155858"/>
        <w:lock w:val="sdtLocked"/>
        <w:placeholder>
          <w:docPart w:val="GBC22222222222222222222222222222"/>
        </w:placeholder>
      </w:sdtPr>
      <w:sdtEndPr>
        <w:rPr>
          <w:rFonts w:hint="eastAsia" w:ascii="宋体" w:hAnsi="宋体" w:cstheme="minorBidi"/>
          <w:b w:val="0"/>
          <w:bCs w:val="0"/>
          <w:kern w:val="0"/>
          <w:szCs w:val="21"/>
        </w:rPr>
      </w:sdtEndPr>
      <w:sdtContent>
        <w:p>
          <w:pPr>
            <w:pStyle w:val="79"/>
            <w:numPr>
              <w:ilvl w:val="0"/>
              <w:numId w:val="81"/>
            </w:numPr>
            <w:rPr>
              <w:rFonts w:cstheme="minorBidi"/>
              <w:szCs w:val="21"/>
            </w:rPr>
          </w:pPr>
          <w:r>
            <w:rPr>
              <w:rFonts w:hint="eastAsia" w:cstheme="minorBidi"/>
              <w:szCs w:val="21"/>
            </w:rPr>
            <w:t>不以公允价值计量的</w:t>
          </w:r>
          <w:r>
            <w:rPr>
              <w:rFonts w:hint="eastAsia"/>
            </w:rPr>
            <w:t>金融资产</w:t>
          </w:r>
          <w:r>
            <w:rPr>
              <w:rFonts w:hint="eastAsia" w:cstheme="minorBidi"/>
              <w:szCs w:val="21"/>
            </w:rPr>
            <w:t>和金融负债的公允价值情况</w:t>
          </w:r>
        </w:p>
        <w:sdt>
          <w:sdtPr>
            <w:rPr>
              <w:rFonts w:hint="eastAsia" w:cstheme="minorBidi"/>
              <w:szCs w:val="21"/>
            </w:rPr>
            <w:alias w:val="是否适用：不以公允价值计量的金融资产和金融负债的公允价值情况[双击切换]"/>
            <w:tag w:val="_GBC_848a058035fb408c922e66294e86defb"/>
            <w:id w:val="25155857"/>
            <w:lock w:val="sdtContentLocked"/>
            <w:placeholder>
              <w:docPart w:val="GBC22222222222222222222222222222"/>
            </w:placeholder>
          </w:sdtPr>
          <w:sdtEndPr>
            <w:rPr>
              <w:rFonts w:hint="eastAsia" w:cstheme="minorBidi"/>
              <w:szCs w:val="21"/>
            </w:rPr>
          </w:sdtEndPr>
          <w:sdtContent>
            <w:p>
              <w:pPr>
                <w:pStyle w:val="76"/>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Content>
    </w:sdt>
    <w:p>
      <w:pPr>
        <w:pStyle w:val="76"/>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25155860"/>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81"/>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25155859"/>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p>
      <w:pPr>
        <w:pStyle w:val="78"/>
        <w:numPr>
          <w:ilvl w:val="0"/>
          <w:numId w:val="34"/>
        </w:numPr>
        <w:rPr>
          <w:rFonts w:ascii="宋体" w:hAnsi="宋体"/>
        </w:rPr>
      </w:pPr>
      <w:r>
        <w:rPr>
          <w:rFonts w:hint="eastAsia" w:ascii="宋体" w:hAnsi="宋体"/>
        </w:rPr>
        <w:t>关联方及关联交易</w:t>
      </w:r>
    </w:p>
    <w:sdt>
      <w:sdtPr>
        <w:rPr>
          <w:rFonts w:hint="eastAsia" w:ascii="宋体" w:hAnsi="宋体" w:cs="宋体"/>
          <w:b w:val="0"/>
          <w:bCs w:val="0"/>
          <w:kern w:val="0"/>
          <w:szCs w:val="24"/>
        </w:rPr>
        <w:alias w:val="模块:本企业的母公司情况"/>
        <w:tag w:val="_GBC_29e1f7491caa4c3e96eef8c84532de84"/>
        <w:id w:val="25155873"/>
        <w:lock w:val="sdtLocked"/>
        <w:placeholder>
          <w:docPart w:val="GBC22222222222222222222222222222"/>
        </w:placeholder>
      </w:sdtPr>
      <w:sdtEndPr>
        <w:rPr>
          <w:rFonts w:hint="eastAsia" w:ascii="宋体" w:hAnsi="宋体" w:cs="Cambria"/>
          <w:b w:val="0"/>
          <w:bCs w:val="0"/>
          <w:kern w:val="0"/>
          <w:szCs w:val="21"/>
        </w:rPr>
      </w:sdtEndPr>
      <w:sdtContent>
        <w:p>
          <w:pPr>
            <w:pStyle w:val="79"/>
            <w:numPr>
              <w:ilvl w:val="0"/>
              <w:numId w:val="82"/>
            </w:numPr>
          </w:pPr>
          <w:r>
            <w:rPr>
              <w:rFonts w:hint="eastAsia"/>
            </w:rPr>
            <w:t>本企业的母公司情况</w:t>
          </w:r>
        </w:p>
        <w:sdt>
          <w:sdtPr>
            <w:alias w:val="是否适用：本企业的母公司情况[双击切换]"/>
            <w:tag w:val="_GBC_ead7e4ec9cc847adb62aa8efd8005802"/>
            <w:id w:val="2515586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pPr>
          <w:r>
            <w:rPr>
              <w:rFonts w:hint="eastAsia"/>
            </w:rPr>
            <w:t>单位:</w:t>
          </w:r>
          <w:sdt>
            <w:sdtPr>
              <w:rPr>
                <w:rFonts w:hint="eastAsia"/>
              </w:rPr>
              <w:alias w:val="单位：本企业的母公司情况"/>
              <w:tag w:val="_GBC_6deea75122314a599b3383585a0f5cfe"/>
              <w:id w:val="25155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251558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35"/>
            <w:gridCol w:w="1419"/>
            <w:gridCol w:w="1276"/>
            <w:gridCol w:w="141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sdt>
              <w:sdtPr>
                <w:tag w:val="_PLD_19f86fac20c44d648212d3b573ca4c90"/>
                <w:id w:val="25155864"/>
                <w:lock w:val="sdtLocked"/>
              </w:sdtPr>
              <w:sdtContent>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母公司名称</w:t>
                    </w:r>
                  </w:p>
                </w:tc>
              </w:sdtContent>
            </w:sdt>
            <w:sdt>
              <w:sdtPr>
                <w:tag w:val="_PLD_d0e9e84346084d4db76e60afa87cf85a"/>
                <w:id w:val="25155865"/>
                <w:lock w:val="sdtLocked"/>
              </w:sdtPr>
              <w:sdtContent>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注册地</w:t>
                    </w:r>
                  </w:p>
                </w:tc>
              </w:sdtContent>
            </w:sdt>
            <w:sdt>
              <w:sdtPr>
                <w:tag w:val="_PLD_862851f8ff08431ea28c3420f555e42d"/>
                <w:id w:val="25155866"/>
                <w:lock w:val="sdtLocked"/>
              </w:sdtPr>
              <w:sdtContent>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业务性质</w:t>
                    </w:r>
                  </w:p>
                </w:tc>
              </w:sdtContent>
            </w:sdt>
            <w:sdt>
              <w:sdtPr>
                <w:tag w:val="_PLD_77ed8bc59084448aa6eced74a15c106f"/>
                <w:id w:val="25155867"/>
                <w:lock w:val="sdtLocked"/>
              </w:sdtPr>
              <w:sdtContent>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注册资本</w:t>
                    </w:r>
                  </w:p>
                </w:tc>
              </w:sdtContent>
            </w:sdt>
            <w:sdt>
              <w:sdtPr>
                <w:tag w:val="_PLD_360f61c4c6c14f0abe6480ef7f30e958"/>
                <w:id w:val="25155868"/>
                <w:lock w:val="sdtLocked"/>
              </w:sdtPr>
              <w:sdtContent>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母公司对本企业的持股比例</w:t>
                    </w:r>
                    <w:r>
                      <w:rPr>
                        <w:rFonts w:cs="Cambria"/>
                        <w:szCs w:val="21"/>
                      </w:rPr>
                      <w:t>(%)</w:t>
                    </w:r>
                  </w:p>
                </w:tc>
              </w:sdtContent>
            </w:sdt>
            <w:sdt>
              <w:sdtPr>
                <w:tag w:val="_PLD_3ef945e24ca64fc394d2e6b861604fcf"/>
                <w:id w:val="25155869"/>
                <w:lock w:val="sdtLocked"/>
              </w:sdtPr>
              <w:sdtContent>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Cs w:val="21"/>
                      </w:rPr>
                    </w:pPr>
                    <w:r>
                      <w:rPr>
                        <w:rFonts w:hint="eastAsia" w:cs="Cambr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2515587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rPr>
                        <w:rFonts w:cs="Cambria"/>
                        <w:szCs w:val="21"/>
                      </w:rPr>
                    </w:pPr>
                    <w:r>
                      <w:t>广西柳州钢铁集团有限公司</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Cs w:val="21"/>
                      </w:rPr>
                    </w:pPr>
                    <w:r>
                      <w:t>广西柳州市</w:t>
                    </w:r>
                  </w:p>
                </w:tc>
                <w:tc>
                  <w:tcPr>
                    <w:tcW w:w="1419"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Cs w:val="21"/>
                      </w:rPr>
                    </w:pPr>
                    <w:r>
                      <w:t>轧钢、制氧等</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Cs w:val="21"/>
                      </w:rPr>
                    </w:pPr>
                    <w:r>
                      <w:t>221,961.00</w:t>
                    </w:r>
                  </w:p>
                </w:tc>
                <w:tc>
                  <w:tcPr>
                    <w:tcW w:w="1415"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Cs w:val="21"/>
                      </w:rPr>
                    </w:pPr>
                    <w:r>
                      <w:t>82.51</w:t>
                    </w:r>
                  </w:p>
                </w:tc>
                <w:tc>
                  <w:tcPr>
                    <w:tcW w:w="1851"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Cs w:val="21"/>
                      </w:rPr>
                    </w:pPr>
                    <w:r>
                      <w:t>82.51</w:t>
                    </w:r>
                  </w:p>
                </w:tc>
              </w:tr>
            </w:sdtContent>
          </w:sdt>
        </w:tbl>
        <w:p>
          <w:pPr>
            <w:pStyle w:val="76"/>
          </w:pPr>
        </w:p>
        <w:p>
          <w:pPr>
            <w:pStyle w:val="76"/>
            <w:tabs>
              <w:tab w:val="left" w:pos="1134"/>
            </w:tabs>
            <w:rPr>
              <w:rFonts w:cs="Cambria"/>
              <w:szCs w:val="21"/>
            </w:rPr>
          </w:pPr>
          <w:r>
            <w:rPr>
              <w:rFonts w:hint="eastAsia" w:cs="Cambria"/>
              <w:szCs w:val="21"/>
            </w:rPr>
            <w:t>本企业的母公司情况的说明</w:t>
          </w:r>
        </w:p>
        <w:sdt>
          <w:sdtPr>
            <w:rPr>
              <w:rFonts w:cs="Cambria"/>
              <w:szCs w:val="21"/>
            </w:rPr>
            <w:alias w:val="本企业的母公司情况的说明"/>
            <w:tag w:val="_GBC_23f67537c1df4d9d9ede9fbc78ad06a4"/>
            <w:id w:val="25155871"/>
            <w:lock w:val="sdtLocked"/>
            <w:placeholder>
              <w:docPart w:val="GBC22222222222222222222222222222"/>
            </w:placeholder>
          </w:sdtPr>
          <w:sdtEndPr>
            <w:rPr>
              <w:rFonts w:cs="Cambria"/>
              <w:szCs w:val="21"/>
            </w:rPr>
          </w:sdtEndPr>
          <w:sdtContent>
            <w:p>
              <w:pPr>
                <w:pStyle w:val="76"/>
                <w:tabs>
                  <w:tab w:val="left" w:pos="1134"/>
                </w:tabs>
                <w:rPr>
                  <w:rFonts w:cs="Cambria"/>
                  <w:szCs w:val="21"/>
                </w:rPr>
              </w:pPr>
              <w:r>
                <w:rPr>
                  <w:rFonts w:hint="eastAsia" w:cs="Cambria"/>
                  <w:szCs w:val="21"/>
                </w:rPr>
                <w:t>本企业的母公司广西柳州钢铁集团有限公司是广西最大的钢铁联合企业，于</w:t>
              </w:r>
              <w:r>
                <w:rPr>
                  <w:rFonts w:cs="Cambria"/>
                  <w:szCs w:val="21"/>
                </w:rPr>
                <w:t>1958年7月1日正式成立。企业性质为国有企业，注册资本金22.20亿元。主营业务为：轧钢、机械加工修理，水泥制造，矿山开采，煤气、氧气生产，汽车货物运输等。直接持有本公司82.51%的股份。</w:t>
              </w:r>
            </w:p>
          </w:sdtContent>
        </w:sdt>
        <w:p>
          <w:pPr>
            <w:pStyle w:val="76"/>
            <w:rPr>
              <w:szCs w:val="21"/>
            </w:rPr>
          </w:pPr>
          <w:r>
            <w:rPr>
              <w:rFonts w:hint="eastAsia"/>
              <w:szCs w:val="21"/>
            </w:rPr>
            <w:t>本企业最终控制方是</w:t>
          </w:r>
          <w:sdt>
            <w:sdtPr>
              <w:rPr>
                <w:rFonts w:hint="eastAsia"/>
                <w:szCs w:val="21"/>
              </w:rPr>
              <w:alias w:val="本企业最终控制方"/>
              <w:tag w:val="_GBC_951a676520994ab7a3822c5f58c20b7d"/>
              <w:id w:val="25155872"/>
              <w:lock w:val="sdtLocked"/>
              <w:placeholder>
                <w:docPart w:val="GBC22222222222222222222222222222"/>
              </w:placeholder>
            </w:sdtPr>
            <w:sdtEndPr>
              <w:rPr>
                <w:rFonts w:hint="eastAsia"/>
                <w:szCs w:val="21"/>
              </w:rPr>
            </w:sdtEndPr>
            <w:sdtContent>
              <w:r>
                <w:rPr>
                  <w:rFonts w:hint="eastAsia"/>
                  <w:szCs w:val="21"/>
                </w:rPr>
                <w:t>本企业最终控制方是本企业最终控制方是广西壮族自治区国有资产监督管理委员会。</w:t>
              </w:r>
            </w:sdtContent>
          </w:sdt>
        </w:p>
        <w:p>
          <w:pPr>
            <w:pStyle w:val="76"/>
            <w:rPr>
              <w:szCs w:val="21"/>
            </w:rPr>
          </w:pPr>
        </w:p>
        <w:p>
          <w:pPr>
            <w:pStyle w:val="76"/>
            <w:rPr>
              <w:szCs w:val="21"/>
            </w:rPr>
          </w:pPr>
        </w:p>
      </w:sdtContent>
    </w:sdt>
    <w:sdt>
      <w:sdtPr>
        <w:rPr>
          <w:rFonts w:hint="eastAsia" w:ascii="宋体" w:hAnsi="宋体" w:cs="Arial"/>
          <w:b w:val="0"/>
          <w:bCs w:val="0"/>
          <w:kern w:val="0"/>
          <w:szCs w:val="21"/>
        </w:rPr>
        <w:alias w:val="模块:本企业的子公司情况"/>
        <w:tag w:val="_GBC_244a434a920446c1838410fee0ac8ba8"/>
        <w:id w:val="25155875"/>
        <w:lock w:val="sdtLocked"/>
        <w:placeholder>
          <w:docPart w:val="GBC22222222222222222222222222222"/>
        </w:placeholder>
      </w:sdtPr>
      <w:sdtEndPr>
        <w:rPr>
          <w:rFonts w:hint="eastAsia" w:ascii="宋体" w:hAnsi="宋体" w:cs="Cambria"/>
          <w:b w:val="0"/>
          <w:bCs w:val="0"/>
          <w:kern w:val="0"/>
          <w:szCs w:val="21"/>
        </w:rPr>
      </w:sdtEndPr>
      <w:sdtContent>
        <w:p>
          <w:pPr>
            <w:pStyle w:val="79"/>
            <w:numPr>
              <w:ilvl w:val="0"/>
              <w:numId w:val="82"/>
            </w:numPr>
            <w:rPr>
              <w:rFonts w:ascii="宋体" w:hAnsi="宋体" w:cs="Arial"/>
              <w:szCs w:val="21"/>
            </w:rPr>
          </w:pPr>
          <w:r>
            <w:rPr>
              <w:rFonts w:hint="eastAsia" w:ascii="宋体" w:hAnsi="宋体" w:cs="Arial"/>
              <w:szCs w:val="21"/>
            </w:rPr>
            <w:t>本企业的子公司情况</w:t>
          </w:r>
        </w:p>
        <w:p>
          <w:pPr>
            <w:pStyle w:val="76"/>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2515587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tabs>
              <w:tab w:val="left" w:pos="1134"/>
            </w:tabs>
            <w:rPr>
              <w:rFonts w:cs="Cambria"/>
              <w:szCs w:val="21"/>
            </w:rPr>
          </w:pPr>
        </w:p>
      </w:sdtContent>
    </w:sdt>
    <w:sdt>
      <w:sdtPr>
        <w:rPr>
          <w:rFonts w:hint="eastAsia" w:ascii="宋体" w:hAnsi="宋体" w:cs="宋体"/>
          <w:b w:val="0"/>
          <w:bCs w:val="0"/>
          <w:kern w:val="0"/>
          <w:szCs w:val="24"/>
        </w:rPr>
        <w:alias w:val="模块:存在关联方交易或余额的合营和联营企业情况"/>
        <w:tag w:val="_GBC_a5638b7fd6a848a19564209060b6909a"/>
        <w:id w:val="25155879"/>
        <w:lock w:val="sdtLocked"/>
        <w:placeholder>
          <w:docPart w:val="GBC22222222222222222222222222222"/>
        </w:placeholder>
      </w:sdtPr>
      <w:sdtEndPr>
        <w:rPr>
          <w:rFonts w:hint="eastAsia" w:ascii="宋体" w:hAnsi="宋体" w:cs="Cambria"/>
          <w:b w:val="0"/>
          <w:bCs w:val="0"/>
          <w:kern w:val="0"/>
          <w:szCs w:val="21"/>
        </w:rPr>
      </w:sdtEndPr>
      <w:sdtContent>
        <w:p>
          <w:pPr>
            <w:pStyle w:val="79"/>
            <w:numPr>
              <w:ilvl w:val="0"/>
              <w:numId w:val="82"/>
            </w:numPr>
          </w:pPr>
          <w:r>
            <w:rPr>
              <w:rFonts w:hint="eastAsia"/>
            </w:rPr>
            <w:t>本企业合营和联营企业情况</w:t>
          </w:r>
        </w:p>
        <w:sdt>
          <w:sdtPr>
            <w:alias w:val="是否适用：本企业重要的合营或联营企业详见附注[双击切换]"/>
            <w:tag w:val="_GBC_2a369d3377e94598b2a744dfe59973e2"/>
            <w:id w:val="2515587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25155877"/>
            <w:lock w:val="sdtLocked"/>
            <w:placeholder>
              <w:docPart w:val="GBC22222222222222222222222222222"/>
            </w:placeholder>
          </w:sdtPr>
          <w:sdtEndPr>
            <w:rPr>
              <w:rFonts w:hint="eastAsia"/>
            </w:rPr>
          </w:sdtEndPr>
          <w:sdtContent>
            <w:p>
              <w:pPr>
                <w:pStyle w:val="76"/>
              </w:pPr>
              <w:r>
                <w:rPr>
                  <w:rFonts w:hint="eastAsia"/>
                </w:rPr>
                <w:t>本企业重要的合营或联营企业详见附注九、3</w:t>
              </w:r>
            </w:p>
          </w:sdtContent>
        </w:sdt>
        <w:p>
          <w:pPr>
            <w:pStyle w:val="76"/>
          </w:pPr>
        </w:p>
        <w:p>
          <w:pPr>
            <w:pStyle w:val="76"/>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25155878"/>
            <w:lock w:val="sdtContentLocked"/>
            <w:placeholder>
              <w:docPart w:val="GBC22222222222222222222222222222"/>
            </w:placeholder>
          </w:sdtPr>
          <w:sdtContent>
            <w:p>
              <w:pPr>
                <w:pStyle w:val="76"/>
                <w:rPr>
                  <w:rFonts w:cs="Cambria"/>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tabs>
              <w:tab w:val="left" w:pos="1134"/>
            </w:tabs>
            <w:rPr>
              <w:rFonts w:cs="Cambria"/>
              <w:szCs w:val="21"/>
            </w:rPr>
          </w:pPr>
        </w:p>
        <w:p>
          <w:pPr>
            <w:pStyle w:val="76"/>
            <w:tabs>
              <w:tab w:val="left" w:pos="1134"/>
            </w:tabs>
            <w:rPr>
              <w:rFonts w:cs="Cambria"/>
              <w:szCs w:val="21"/>
            </w:rPr>
          </w:pPr>
        </w:p>
      </w:sdtContent>
    </w:sdt>
    <w:sdt>
      <w:sdtPr>
        <w:rPr>
          <w:rFonts w:hint="eastAsia" w:ascii="宋体" w:hAnsi="宋体" w:cs="宋体"/>
          <w:b w:val="0"/>
          <w:bCs w:val="0"/>
          <w:kern w:val="0"/>
          <w:szCs w:val="24"/>
        </w:rPr>
        <w:alias w:val="模块:其他关联方情况"/>
        <w:tag w:val="_GBC_047a0ce3dc594d779db6d4cbc1623727"/>
        <w:id w:val="25156015"/>
        <w:lock w:val="sdtLocked"/>
        <w:placeholder>
          <w:docPart w:val="GBC22222222222222222222222222222"/>
        </w:placeholder>
      </w:sdtPr>
      <w:sdtEndPr>
        <w:rPr>
          <w:rFonts w:hint="eastAsia" w:ascii="宋体" w:hAnsi="宋体" w:cs="Cambria"/>
          <w:b w:val="0"/>
          <w:bCs w:val="0"/>
          <w:kern w:val="0"/>
          <w:szCs w:val="21"/>
        </w:rPr>
      </w:sdtEndPr>
      <w:sdtContent>
        <w:p>
          <w:pPr>
            <w:pStyle w:val="79"/>
            <w:numPr>
              <w:ilvl w:val="0"/>
              <w:numId w:val="82"/>
            </w:numPr>
          </w:pPr>
          <w:r>
            <w:rPr>
              <w:rFonts w:hint="eastAsia"/>
            </w:rPr>
            <w:t>其他关联方情况</w:t>
          </w:r>
        </w:p>
        <w:sdt>
          <w:sdtPr>
            <w:alias w:val="是否适用：其他关联方情况[双击切换]"/>
            <w:tag w:val="_GBC_f9c029ef57734babb6375a74af1e3736"/>
            <w:id w:val="2515588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sdt>
              <w:sdtPr>
                <w:tag w:val="_PLD_8fe00abbc9b249a98b2e3ac6b12f12db"/>
                <w:id w:val="25155881"/>
                <w:lock w:val="sdtLocked"/>
              </w:sdtPr>
              <w:sdtContent>
                <w:tc>
                  <w:tcPr>
                    <w:tcW w:w="5495"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Cs w:val="21"/>
                      </w:rPr>
                    </w:pPr>
                    <w:r>
                      <w:rPr>
                        <w:rFonts w:hint="eastAsia" w:cs="Cambria"/>
                        <w:szCs w:val="21"/>
                      </w:rPr>
                      <w:t>其他关联方名称</w:t>
                    </w:r>
                  </w:p>
                </w:tc>
              </w:sdtContent>
            </w:sdt>
            <w:sdt>
              <w:sdtPr>
                <w:tag w:val="_PLD_c1304840da1e482f80286e0c7ca19002"/>
                <w:id w:val="25155882"/>
                <w:lock w:val="sdtLocked"/>
              </w:sdtPr>
              <w:sdtContent>
                <w:tc>
                  <w:tcPr>
                    <w:tcW w:w="3554"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Cs w:val="21"/>
                      </w:rPr>
                    </w:pPr>
                    <w:r>
                      <w:rPr>
                        <w:rFonts w:hint="eastAsia" w:cs="Cambria"/>
                        <w:szCs w:val="21"/>
                      </w:rPr>
                      <w:t>其他关联方与本企业关系</w:t>
                    </w:r>
                  </w:p>
                </w:tc>
              </w:sdtContent>
            </w:sdt>
          </w:tr>
          <w:sdt>
            <w:sdtPr>
              <w:rPr>
                <w:rFonts w:cs="Cambria"/>
                <w:szCs w:val="21"/>
              </w:rPr>
              <w:alias w:val="本企业的其他关联方情况明细"/>
              <w:tag w:val="_GBC_2ec4adf7a1ce48faaeba9536b2bf6d81"/>
              <w:id w:val="2515588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柳州兴钢建筑安装工程处</w:t>
                    </w:r>
                  </w:p>
                </w:tc>
                <w:sdt>
                  <w:sdtPr>
                    <w:rPr>
                      <w:rFonts w:cs="Cambria"/>
                      <w:szCs w:val="21"/>
                    </w:rPr>
                    <w:alias w:val="本企业的其他关联方情况明细－其他关联方与本公司关系"/>
                    <w:tag w:val="_GBC_2205fb8ea5f648b5a0c9e8e3f8499f9f"/>
                    <w:id w:val="251558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88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柳州市兴佳房地产开发有限责任公司</w:t>
                    </w:r>
                  </w:p>
                </w:tc>
                <w:sdt>
                  <w:sdtPr>
                    <w:rPr>
                      <w:rFonts w:cs="Cambria"/>
                      <w:szCs w:val="21"/>
                    </w:rPr>
                    <w:alias w:val="本企业的其他关联方情况明细－其他关联方与本公司关系"/>
                    <w:tag w:val="_GBC_2205fb8ea5f648b5a0c9e8e3f8499f9f"/>
                    <w:id w:val="251558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88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柳州市红星园艺场</w:t>
                    </w:r>
                  </w:p>
                </w:tc>
                <w:sdt>
                  <w:sdtPr>
                    <w:rPr>
                      <w:rFonts w:cs="Cambria"/>
                      <w:szCs w:val="21"/>
                    </w:rPr>
                    <w:alias w:val="本企业的其他关联方情况明细－其他关联方与本公司关系"/>
                    <w:tag w:val="_GBC_2205fb8ea5f648b5a0c9e8e3f8499f9f"/>
                    <w:id w:val="251558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89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柳州市钢花工程建筑监理有限责任公司</w:t>
                    </w:r>
                  </w:p>
                </w:tc>
                <w:sdt>
                  <w:sdtPr>
                    <w:rPr>
                      <w:rFonts w:cs="Cambria"/>
                      <w:szCs w:val="21"/>
                    </w:rPr>
                    <w:alias w:val="本企业的其他关联方情况明细－其他关联方与本公司关系"/>
                    <w:tag w:val="_GBC_2205fb8ea5f648b5a0c9e8e3f8499f9f"/>
                    <w:id w:val="251558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89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柳州市国龙物业有限公司</w:t>
                    </w:r>
                  </w:p>
                </w:tc>
                <w:sdt>
                  <w:sdtPr>
                    <w:rPr>
                      <w:rFonts w:cs="Cambria"/>
                      <w:szCs w:val="21"/>
                    </w:rPr>
                    <w:alias w:val="本企业的其他关联方情况明细－其他关联方与本公司关系"/>
                    <w:tag w:val="_GBC_2205fb8ea5f648b5a0c9e8e3f8499f9f"/>
                    <w:id w:val="251558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89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柳州市品成金属材料有限公司</w:t>
                    </w:r>
                  </w:p>
                </w:tc>
                <w:sdt>
                  <w:sdtPr>
                    <w:rPr>
                      <w:rFonts w:cs="Cambria"/>
                      <w:szCs w:val="21"/>
                    </w:rPr>
                    <w:alias w:val="本企业的其他关联方情况明细－其他关联方与本公司关系"/>
                    <w:tag w:val="_GBC_2205fb8ea5f648b5a0c9e8e3f8499f9f"/>
                    <w:id w:val="251558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515589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柳州瑞昱钢铁国际贸易有限公司</w:t>
                    </w:r>
                  </w:p>
                </w:tc>
                <w:sdt>
                  <w:sdtPr>
                    <w:rPr>
                      <w:rFonts w:cs="Cambria"/>
                      <w:szCs w:val="21"/>
                    </w:rPr>
                    <w:alias w:val="本企业的其他关联方情况明细－其他关联方与本公司关系"/>
                    <w:tag w:val="_GBC_2205fb8ea5f648b5a0c9e8e3f8499f9f"/>
                    <w:id w:val="251558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89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广西柳钢国际贸易有限公司</w:t>
                    </w:r>
                  </w:p>
                </w:tc>
                <w:sdt>
                  <w:sdtPr>
                    <w:rPr>
                      <w:rFonts w:cs="Cambria"/>
                      <w:szCs w:val="21"/>
                    </w:rPr>
                    <w:alias w:val="本企业的其他关联方情况明细－其他关联方与本公司关系"/>
                    <w:tag w:val="_GBC_2205fb8ea5f648b5a0c9e8e3f8499f9f"/>
                    <w:id w:val="2515589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0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柳州市强实科技有限公司</w:t>
                    </w:r>
                  </w:p>
                </w:tc>
                <w:sdt>
                  <w:sdtPr>
                    <w:rPr>
                      <w:rFonts w:cs="Cambria"/>
                      <w:szCs w:val="21"/>
                    </w:rPr>
                    <w:alias w:val="本企业的其他关联方情况明细－其他关联方与本公司关系"/>
                    <w:tag w:val="_GBC_2205fb8ea5f648b5a0c9e8e3f8499f9f"/>
                    <w:id w:val="251558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0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广西柳钢物流有限公司</w:t>
                    </w:r>
                  </w:p>
                </w:tc>
                <w:sdt>
                  <w:sdtPr>
                    <w:rPr>
                      <w:rFonts w:cs="Cambria"/>
                      <w:szCs w:val="21"/>
                    </w:rPr>
                    <w:alias w:val="本企业的其他关联方情况明细－其他关联方与本公司关系"/>
                    <w:tag w:val="_GBC_2205fb8ea5f648b5a0c9e8e3f8499f9f"/>
                    <w:id w:val="2515590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90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柳州市运天运运输有限公司</w:t>
                    </w:r>
                  </w:p>
                </w:tc>
                <w:sdt>
                  <w:sdtPr>
                    <w:rPr>
                      <w:rFonts w:cs="Cambria"/>
                      <w:szCs w:val="21"/>
                    </w:rPr>
                    <w:alias w:val="本企业的其他关联方情况明细－其他关联方与本公司关系"/>
                    <w:tag w:val="_GBC_2205fb8ea5f648b5a0c9e8e3f8499f9f"/>
                    <w:id w:val="251559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0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志港实业有限公司</w:t>
                    </w:r>
                  </w:p>
                </w:tc>
                <w:sdt>
                  <w:sdtPr>
                    <w:rPr>
                      <w:rFonts w:cs="Cambria"/>
                      <w:szCs w:val="21"/>
                    </w:rPr>
                    <w:alias w:val="本企业的其他关联方情况明细－其他关联方与本公司关系"/>
                    <w:tag w:val="_GBC_2205fb8ea5f648b5a0c9e8e3f8499f9f"/>
                    <w:id w:val="251559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90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广西柳钢资产经营管理有限公司</w:t>
                    </w:r>
                  </w:p>
                </w:tc>
                <w:sdt>
                  <w:sdtPr>
                    <w:rPr>
                      <w:rFonts w:cs="Cambria"/>
                      <w:szCs w:val="21"/>
                    </w:rPr>
                    <w:alias w:val="本企业的其他关联方情况明细－其他关联方与本公司关系"/>
                    <w:tag w:val="_GBC_2205fb8ea5f648b5a0c9e8e3f8499f9f"/>
                    <w:id w:val="251559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91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桂林仙源健康产业股份有限公司</w:t>
                    </w:r>
                  </w:p>
                </w:tc>
                <w:sdt>
                  <w:sdtPr>
                    <w:rPr>
                      <w:rFonts w:cs="Cambria"/>
                      <w:szCs w:val="21"/>
                    </w:rPr>
                    <w:alias w:val="本企业的其他关联方情况明细－其他关联方与本公司关系"/>
                    <w:tag w:val="_GBC_2205fb8ea5f648b5a0c9e8e3f8499f9f"/>
                    <w:id w:val="251559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1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广西南宁柳钢钢材销售有限公司</w:t>
                    </w:r>
                  </w:p>
                </w:tc>
                <w:sdt>
                  <w:sdtPr>
                    <w:rPr>
                      <w:rFonts w:cs="Cambria"/>
                      <w:szCs w:val="21"/>
                    </w:rPr>
                    <w:alias w:val="本企业的其他关联方情况明细－其他关联方与本公司关系"/>
                    <w:tag w:val="_GBC_2205fb8ea5f648b5a0c9e8e3f8499f9f"/>
                    <w:id w:val="251559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515591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柳州市锐立瑞环保科技股份有限公司</w:t>
                    </w:r>
                  </w:p>
                </w:tc>
                <w:sdt>
                  <w:sdtPr>
                    <w:rPr>
                      <w:rFonts w:cs="Cambria"/>
                      <w:szCs w:val="21"/>
                    </w:rPr>
                    <w:alias w:val="本企业的其他关联方情况明细－其他关联方与本公司关系"/>
                    <w:tag w:val="_GBC_2205fb8ea5f648b5a0c9e8e3f8499f9f"/>
                    <w:id w:val="2515591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1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柳州市环源利环境资源技术开发有限公司</w:t>
                    </w:r>
                  </w:p>
                </w:tc>
                <w:sdt>
                  <w:sdtPr>
                    <w:rPr>
                      <w:rFonts w:cs="Cambria"/>
                      <w:szCs w:val="21"/>
                    </w:rPr>
                    <w:alias w:val="本企业的其他关联方情况明细－其他关联方与本公司关系"/>
                    <w:tag w:val="_GBC_2205fb8ea5f648b5a0c9e8e3f8499f9f"/>
                    <w:id w:val="2515591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1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广东柳钢物流贸易有限公司</w:t>
                    </w:r>
                  </w:p>
                </w:tc>
                <w:sdt>
                  <w:sdtPr>
                    <w:rPr>
                      <w:rFonts w:cs="Cambria"/>
                      <w:szCs w:val="21"/>
                    </w:rPr>
                    <w:alias w:val="本企业的其他关联方情况明细－其他关联方与本公司关系"/>
                    <w:tag w:val="_GBC_2205fb8ea5f648b5a0c9e8e3f8499f9f"/>
                    <w:id w:val="2515591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2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柳州市惕艾惕冶金余热发电有限公司</w:t>
                    </w:r>
                  </w:p>
                </w:tc>
                <w:sdt>
                  <w:sdtPr>
                    <w:rPr>
                      <w:rFonts w:cs="Cambria"/>
                      <w:szCs w:val="21"/>
                    </w:rPr>
                    <w:alias w:val="本企业的其他关联方情况明细－其他关联方与本公司关系"/>
                    <w:tag w:val="_GBC_2205fb8ea5f648b5a0c9e8e3f8499f9f"/>
                    <w:id w:val="251559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2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柳州市新越嘉房地产开发有限公司</w:t>
                    </w:r>
                  </w:p>
                </w:tc>
                <w:sdt>
                  <w:sdtPr>
                    <w:rPr>
                      <w:rFonts w:cs="Cambria"/>
                      <w:szCs w:val="21"/>
                    </w:rPr>
                    <w:alias w:val="本企业的其他关联方情况明细－其他关联方与本公司关系"/>
                    <w:tag w:val="_GBC_2205fb8ea5f648b5a0c9e8e3f8499f9f"/>
                    <w:id w:val="251559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2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柳州市畅通运货运服务有限公司</w:t>
                    </w:r>
                  </w:p>
                </w:tc>
                <w:sdt>
                  <w:sdtPr>
                    <w:rPr>
                      <w:rFonts w:cs="Cambria"/>
                      <w:szCs w:val="21"/>
                    </w:rPr>
                    <w:alias w:val="本企业的其他关联方情况明细－其他关联方与本公司关系"/>
                    <w:tag w:val="_GBC_2205fb8ea5f648b5a0c9e8e3f8499f9f"/>
                    <w:id w:val="2515592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2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广西柳州锐钢捷冶金机械制造有限责任公司</w:t>
                    </w:r>
                  </w:p>
                </w:tc>
                <w:sdt>
                  <w:sdtPr>
                    <w:rPr>
                      <w:rFonts w:cs="Cambria"/>
                      <w:szCs w:val="21"/>
                    </w:rPr>
                    <w:alias w:val="本企业的其他关联方情况明细－其他关联方与本公司关系"/>
                    <w:tag w:val="_GBC_2205fb8ea5f648b5a0c9e8e3f8499f9f"/>
                    <w:id w:val="251559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2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柳州凯盈钢材加工有限公司</w:t>
                    </w:r>
                  </w:p>
                </w:tc>
                <w:sdt>
                  <w:sdtPr>
                    <w:rPr>
                      <w:rFonts w:cs="Cambria"/>
                      <w:szCs w:val="21"/>
                    </w:rPr>
                    <w:alias w:val="本企业的其他关联方情况明细－其他关联方与本公司关系"/>
                    <w:tag w:val="_GBC_2205fb8ea5f648b5a0c9e8e3f8499f9f"/>
                    <w:id w:val="251559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3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柳州兴远劳务有限公司</w:t>
                    </w:r>
                  </w:p>
                </w:tc>
                <w:sdt>
                  <w:sdtPr>
                    <w:rPr>
                      <w:rFonts w:cs="Cambria"/>
                      <w:szCs w:val="21"/>
                    </w:rPr>
                    <w:alias w:val="本企业的其他关联方情况明细－其他关联方与本公司关系"/>
                    <w:tag w:val="_GBC_2205fb8ea5f648b5a0c9e8e3f8499f9f"/>
                    <w:id w:val="2515592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3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柳州市新和刚电力有限责任公司</w:t>
                    </w:r>
                  </w:p>
                </w:tc>
                <w:sdt>
                  <w:sdtPr>
                    <w:rPr>
                      <w:rFonts w:cs="Cambria"/>
                      <w:szCs w:val="21"/>
                    </w:rPr>
                    <w:alias w:val="本企业的其他关联方情况明细－其他关联方与本公司关系"/>
                    <w:tag w:val="_GBC_2205fb8ea5f648b5a0c9e8e3f8499f9f"/>
                    <w:id w:val="2515593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3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柳州市瑞拓小额贷款有限公司</w:t>
                    </w:r>
                  </w:p>
                </w:tc>
                <w:sdt>
                  <w:sdtPr>
                    <w:rPr>
                      <w:rFonts w:cs="Cambria"/>
                      <w:szCs w:val="21"/>
                    </w:rPr>
                    <w:alias w:val="本企业的其他关联方情况明细－其他关联方与本公司关系"/>
                    <w:tag w:val="_GBC_2205fb8ea5f648b5a0c9e8e3f8499f9f"/>
                    <w:id w:val="2515593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3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柳州秋实益矿业有限公司</w:t>
                    </w:r>
                  </w:p>
                </w:tc>
                <w:sdt>
                  <w:sdtPr>
                    <w:rPr>
                      <w:rFonts w:cs="Cambria"/>
                      <w:szCs w:val="21"/>
                    </w:rPr>
                    <w:alias w:val="本企业的其他关联方情况明细－其他关联方与本公司关系"/>
                    <w:tag w:val="_GBC_2205fb8ea5f648b5a0c9e8e3f8499f9f"/>
                    <w:id w:val="251559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3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柳州市固强钢材有限公司</w:t>
                    </w:r>
                  </w:p>
                </w:tc>
                <w:sdt>
                  <w:sdtPr>
                    <w:rPr>
                      <w:rFonts w:cs="Cambria"/>
                      <w:szCs w:val="21"/>
                    </w:rPr>
                    <w:alias w:val="本企业的其他关联方情况明细－其他关联方与本公司关系"/>
                    <w:tag w:val="_GBC_2205fb8ea5f648b5a0c9e8e3f8499f9f"/>
                    <w:id w:val="2515593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4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柳州特久恒机械设备有限公司</w:t>
                    </w:r>
                  </w:p>
                </w:tc>
                <w:sdt>
                  <w:sdtPr>
                    <w:rPr>
                      <w:rFonts w:cs="Cambria"/>
                      <w:szCs w:val="21"/>
                    </w:rPr>
                    <w:alias w:val="本企业的其他关联方情况明细－其他关联方与本公司关系"/>
                    <w:tag w:val="_GBC_2205fb8ea5f648b5a0c9e8e3f8499f9f"/>
                    <w:id w:val="2515593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4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柳州市新游化工有限责任公司</w:t>
                    </w:r>
                  </w:p>
                </w:tc>
                <w:sdt>
                  <w:sdtPr>
                    <w:rPr>
                      <w:rFonts w:cs="Cambria"/>
                      <w:szCs w:val="21"/>
                    </w:rPr>
                    <w:alias w:val="本企业的其他关联方情况明细－其他关联方与本公司关系"/>
                    <w:tag w:val="_GBC_2205fb8ea5f648b5a0c9e8e3f8499f9f"/>
                    <w:id w:val="251559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4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柳州市曼凯亚科技有限责任公司</w:t>
                    </w:r>
                  </w:p>
                </w:tc>
                <w:sdt>
                  <w:sdtPr>
                    <w:rPr>
                      <w:rFonts w:cs="Cambria"/>
                      <w:szCs w:val="21"/>
                    </w:rPr>
                    <w:alias w:val="本企业的其他关联方情况明细－其他关联方与本公司关系"/>
                    <w:tag w:val="_GBC_2205fb8ea5f648b5a0c9e8e3f8499f9f"/>
                    <w:id w:val="251559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4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柳州锐源鹏节能环保科技有限公司</w:t>
                    </w:r>
                  </w:p>
                </w:tc>
                <w:sdt>
                  <w:sdtPr>
                    <w:rPr>
                      <w:rFonts w:cs="Cambria"/>
                      <w:szCs w:val="21"/>
                    </w:rPr>
                    <w:alias w:val="本企业的其他关联方情况明细－其他关联方与本公司关系"/>
                    <w:tag w:val="_GBC_2205fb8ea5f648b5a0c9e8e3f8499f9f"/>
                    <w:id w:val="251559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4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柳州市多元贸易有限责任公司</w:t>
                    </w:r>
                  </w:p>
                </w:tc>
                <w:sdt>
                  <w:sdtPr>
                    <w:rPr>
                      <w:rFonts w:cs="Cambria"/>
                      <w:szCs w:val="21"/>
                    </w:rPr>
                    <w:alias w:val="本企业的其他关联方情况明细－其他关联方与本公司关系"/>
                    <w:tag w:val="_GBC_2205fb8ea5f648b5a0c9e8e3f8499f9f"/>
                    <w:id w:val="251559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5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柳州市盛鹏源环保科技有限公司</w:t>
                    </w:r>
                  </w:p>
                </w:tc>
                <w:sdt>
                  <w:sdtPr>
                    <w:rPr>
                      <w:rFonts w:cs="Cambria"/>
                      <w:szCs w:val="21"/>
                    </w:rPr>
                    <w:alias w:val="本企业的其他关联方情况明细－其他关联方与本公司关系"/>
                    <w:tag w:val="_GBC_2205fb8ea5f648b5a0c9e8e3f8499f9f"/>
                    <w:id w:val="2515594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5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广西柳州新锐传媒文化有限责任公司</w:t>
                    </w:r>
                  </w:p>
                </w:tc>
                <w:sdt>
                  <w:sdtPr>
                    <w:rPr>
                      <w:rFonts w:cs="Cambria"/>
                      <w:szCs w:val="21"/>
                    </w:rPr>
                    <w:alias w:val="本企业的其他关联方情况明细－其他关联方与本公司关系"/>
                    <w:tag w:val="_GBC_2205fb8ea5f648b5a0c9e8e3f8499f9f"/>
                    <w:id w:val="251559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5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桂林市柳钢刚茂升贸易有限公司</w:t>
                    </w:r>
                  </w:p>
                </w:tc>
                <w:sdt>
                  <w:sdtPr>
                    <w:rPr>
                      <w:rFonts w:cs="Cambria"/>
                      <w:szCs w:val="21"/>
                    </w:rPr>
                    <w:alias w:val="本企业的其他关联方情况明细－其他关联方与本公司关系"/>
                    <w:tag w:val="_GBC_2205fb8ea5f648b5a0c9e8e3f8499f9f"/>
                    <w:id w:val="251559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5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柳州市瑞润气体有限公司</w:t>
                    </w:r>
                  </w:p>
                </w:tc>
                <w:sdt>
                  <w:sdtPr>
                    <w:rPr>
                      <w:rFonts w:cs="Cambria"/>
                      <w:szCs w:val="21"/>
                    </w:rPr>
                    <w:alias w:val="本企业的其他关联方情况明细－其他关联方与本公司关系"/>
                    <w:tag w:val="_GBC_2205fb8ea5f648b5a0c9e8e3f8499f9f"/>
                    <w:id w:val="2515595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5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柳州市瑞雅教育投资管理有限公司</w:t>
                    </w:r>
                  </w:p>
                </w:tc>
                <w:sdt>
                  <w:sdtPr>
                    <w:rPr>
                      <w:rFonts w:cs="Cambria"/>
                      <w:szCs w:val="21"/>
                    </w:rPr>
                    <w:alias w:val="本企业的其他关联方情况明细－其他关联方与本公司关系"/>
                    <w:tag w:val="_GBC_2205fb8ea5f648b5a0c9e8e3f8499f9f"/>
                    <w:id w:val="251559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6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广西金环研科技开发有限公司</w:t>
                    </w:r>
                  </w:p>
                </w:tc>
                <w:sdt>
                  <w:sdtPr>
                    <w:rPr>
                      <w:rFonts w:cs="Cambria"/>
                      <w:szCs w:val="21"/>
                    </w:rPr>
                    <w:alias w:val="本企业的其他关联方情况明细－其他关联方与本公司关系"/>
                    <w:tag w:val="_GBC_2205fb8ea5f648b5a0c9e8e3f8499f9f"/>
                    <w:id w:val="251559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6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柳州市聚仁劳务有限公司</w:t>
                    </w:r>
                  </w:p>
                </w:tc>
                <w:sdt>
                  <w:sdtPr>
                    <w:rPr>
                      <w:rFonts w:cs="Cambria"/>
                      <w:szCs w:val="21"/>
                    </w:rPr>
                    <w:alias w:val="本企业的其他关联方情况明细－其他关联方与本公司关系"/>
                    <w:tag w:val="_GBC_2205fb8ea5f648b5a0c9e8e3f8499f9f"/>
                    <w:id w:val="2515596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6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柳州市益力资源开发有限责任公司</w:t>
                    </w:r>
                  </w:p>
                </w:tc>
                <w:sdt>
                  <w:sdtPr>
                    <w:rPr>
                      <w:rFonts w:cs="Cambria"/>
                      <w:szCs w:val="21"/>
                    </w:rPr>
                    <w:alias w:val="本企业的其他关联方情况明细－其他关联方与本公司关系"/>
                    <w:tag w:val="_GBC_2205fb8ea5f648b5a0c9e8e3f8499f9f"/>
                    <w:id w:val="251559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6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广西柳钢供应链管理有限公司</w:t>
                    </w:r>
                  </w:p>
                </w:tc>
                <w:sdt>
                  <w:sdtPr>
                    <w:rPr>
                      <w:rFonts w:cs="Cambria"/>
                      <w:szCs w:val="21"/>
                    </w:rPr>
                    <w:alias w:val="本企业的其他关联方情况明细－其他关联方与本公司关系"/>
                    <w:tag w:val="_GBC_2205fb8ea5f648b5a0c9e8e3f8499f9f"/>
                    <w:id w:val="2515596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6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柳州山海科技股份有限公司</w:t>
                    </w:r>
                  </w:p>
                </w:tc>
                <w:sdt>
                  <w:sdtPr>
                    <w:rPr>
                      <w:rFonts w:cs="Cambria"/>
                      <w:szCs w:val="21"/>
                    </w:rPr>
                    <w:alias w:val="本企业的其他关联方情况明细－其他关联方与本公司关系"/>
                    <w:tag w:val="_GBC_2205fb8ea5f648b5a0c9e8e3f8499f9f"/>
                    <w:id w:val="251559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7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广西柳钢环保股份有限公司</w:t>
                    </w:r>
                  </w:p>
                </w:tc>
                <w:sdt>
                  <w:sdtPr>
                    <w:rPr>
                      <w:rFonts w:cs="Cambria"/>
                      <w:szCs w:val="21"/>
                    </w:rPr>
                    <w:alias w:val="本企业的其他关联方情况明细－其他关联方与本公司关系"/>
                    <w:tag w:val="_GBC_2205fb8ea5f648b5a0c9e8e3f8499f9f"/>
                    <w:id w:val="251559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7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广西华锐钢铁工程设计咨询有限责任公司</w:t>
                    </w:r>
                  </w:p>
                </w:tc>
                <w:sdt>
                  <w:sdtPr>
                    <w:rPr>
                      <w:rFonts w:cs="Cambria"/>
                      <w:szCs w:val="21"/>
                    </w:rPr>
                    <w:alias w:val="本企业的其他关联方情况明细－其他关联方与本公司关系"/>
                    <w:tag w:val="_GBC_2205fb8ea5f648b5a0c9e8e3f8499f9f"/>
                    <w:id w:val="2515597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7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柳州市瑞中运储运有限公司</w:t>
                    </w:r>
                  </w:p>
                </w:tc>
                <w:sdt>
                  <w:sdtPr>
                    <w:rPr>
                      <w:rFonts w:cs="Cambria"/>
                      <w:szCs w:val="21"/>
                    </w:rPr>
                    <w:alias w:val="本企业的其他关联方情况明细－其他关联方与本公司关系"/>
                    <w:tag w:val="_GBC_2205fb8ea5f648b5a0c9e8e3f8499f9f"/>
                    <w:id w:val="251559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7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广西柳钢阳光钢结构有限公司</w:t>
                    </w:r>
                  </w:p>
                </w:tc>
                <w:sdt>
                  <w:sdtPr>
                    <w:rPr>
                      <w:rFonts w:cs="Cambria"/>
                      <w:szCs w:val="21"/>
                    </w:rPr>
                    <w:alias w:val="本企业的其他关联方情况明细－其他关联方与本公司关系"/>
                    <w:tag w:val="_GBC_2205fb8ea5f648b5a0c9e8e3f8499f9f"/>
                    <w:id w:val="251559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7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十一冶建设集团有限责任公司</w:t>
                    </w:r>
                  </w:p>
                </w:tc>
                <w:sdt>
                  <w:sdtPr>
                    <w:rPr>
                      <w:rFonts w:cs="Cambria"/>
                      <w:szCs w:val="21"/>
                    </w:rPr>
                    <w:alias w:val="本企业的其他关联方情况明细－其他关联方与本公司关系"/>
                    <w:tag w:val="_GBC_2205fb8ea5f648b5a0c9e8e3f8499f9f"/>
                    <w:id w:val="251559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8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广西中金金属科技股份有限公司</w:t>
                    </w:r>
                  </w:p>
                </w:tc>
                <w:sdt>
                  <w:sdtPr>
                    <w:rPr>
                      <w:rFonts w:cs="Cambria"/>
                      <w:szCs w:val="21"/>
                    </w:rPr>
                    <w:alias w:val="本企业的其他关联方情况明细－其他关联方与本公司关系"/>
                    <w:tag w:val="_GBC_2205fb8ea5f648b5a0c9e8e3f8499f9f"/>
                    <w:id w:val="251559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8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柳州柳宏气体有限公司</w:t>
                    </w:r>
                  </w:p>
                </w:tc>
                <w:sdt>
                  <w:sdtPr>
                    <w:rPr>
                      <w:rFonts w:cs="Cambria"/>
                      <w:szCs w:val="21"/>
                    </w:rPr>
                    <w:alias w:val="本企业的其他关联方情况明细－其他关联方与本公司关系"/>
                    <w:tag w:val="_GBC_2205fb8ea5f648b5a0c9e8e3f8499f9f"/>
                    <w:id w:val="251559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8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柳州市锐航船务有限责任公司</w:t>
                    </w:r>
                  </w:p>
                </w:tc>
                <w:sdt>
                  <w:sdtPr>
                    <w:rPr>
                      <w:rFonts w:cs="Cambria"/>
                      <w:szCs w:val="21"/>
                    </w:rPr>
                    <w:alias w:val="本企业的其他关联方情况明细－其他关联方与本公司关系"/>
                    <w:tag w:val="_GBC_2205fb8ea5f648b5a0c9e8e3f8499f9f"/>
                    <w:id w:val="251559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8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t>柳州市柳北区柳钢仙源颐养中心</w:t>
                    </w:r>
                  </w:p>
                </w:tc>
                <w:sdt>
                  <w:sdtPr>
                    <w:rPr>
                      <w:rFonts w:cs="Cambria"/>
                      <w:szCs w:val="21"/>
                    </w:rPr>
                    <w:alias w:val="本企业的其他关联方情况明细－其他关联方与本公司关系"/>
                    <w:tag w:val="_GBC_2205fb8ea5f648b5a0c9e8e3f8499f9f"/>
                    <w:id w:val="251559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8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柳州十一冶机械制造有限责任公司</w:t>
                    </w:r>
                  </w:p>
                </w:tc>
                <w:sdt>
                  <w:sdtPr>
                    <w:rPr>
                      <w:rFonts w:cs="Cambria"/>
                      <w:szCs w:val="21"/>
                    </w:rPr>
                    <w:alias w:val="本企业的其他关联方情况明细－其他关联方与本公司关系"/>
                    <w:tag w:val="_GBC_2205fb8ea5f648b5a0c9e8e3f8499f9f"/>
                    <w:id w:val="251559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9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十一冶建设集团第一工程有限公司</w:t>
                    </w:r>
                  </w:p>
                </w:tc>
                <w:sdt>
                  <w:sdtPr>
                    <w:rPr>
                      <w:rFonts w:cs="Cambria"/>
                      <w:szCs w:val="21"/>
                    </w:rPr>
                    <w:alias w:val="本企业的其他关联方情况明细－其他关联方与本公司关系"/>
                    <w:tag w:val="_GBC_2205fb8ea5f648b5a0c9e8e3f8499f9f"/>
                    <w:id w:val="251559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9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十一冶建设集团第三工程有限公司</w:t>
                    </w:r>
                  </w:p>
                </w:tc>
                <w:sdt>
                  <w:sdtPr>
                    <w:rPr>
                      <w:rFonts w:cs="Cambria"/>
                      <w:szCs w:val="21"/>
                    </w:rPr>
                    <w:alias w:val="本企业的其他关联方情况明细－其他关联方与本公司关系"/>
                    <w:tag w:val="_GBC_2205fb8ea5f648b5a0c9e8e3f8499f9f"/>
                    <w:id w:val="251559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9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十一冶建设集团路桥工程有限公司</w:t>
                    </w:r>
                  </w:p>
                </w:tc>
                <w:sdt>
                  <w:sdtPr>
                    <w:rPr>
                      <w:rFonts w:cs="Cambria"/>
                      <w:szCs w:val="21"/>
                    </w:rPr>
                    <w:alias w:val="本企业的其他关联方情况明细－其他关联方与本公司关系"/>
                    <w:tag w:val="_GBC_2205fb8ea5f648b5a0c9e8e3f8499f9f"/>
                    <w:id w:val="251559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9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柳州锦腾贸易有限公司</w:t>
                    </w:r>
                  </w:p>
                </w:tc>
                <w:sdt>
                  <w:sdtPr>
                    <w:rPr>
                      <w:rFonts w:cs="Cambria"/>
                      <w:szCs w:val="21"/>
                    </w:rPr>
                    <w:alias w:val="本企业的其他关联方情况明细－其他关联方与本公司关系"/>
                    <w:tag w:val="_GBC_2205fb8ea5f648b5a0c9e8e3f8499f9f"/>
                    <w:id w:val="251559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599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柳州建达工程劳务有限责任公司</w:t>
                    </w:r>
                  </w:p>
                </w:tc>
                <w:sdt>
                  <w:sdtPr>
                    <w:rPr>
                      <w:rFonts w:cs="Cambria"/>
                      <w:szCs w:val="21"/>
                    </w:rPr>
                    <w:alias w:val="本企业的其他关联方情况明细－其他关联方与本公司关系"/>
                    <w:tag w:val="_GBC_2205fb8ea5f648b5a0c9e8e3f8499f9f"/>
                    <w:id w:val="2515599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0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十一冶集团嘉泽贸易有限公司</w:t>
                    </w:r>
                  </w:p>
                </w:tc>
                <w:sdt>
                  <w:sdtPr>
                    <w:rPr>
                      <w:rFonts w:cs="Cambria"/>
                      <w:szCs w:val="21"/>
                    </w:rPr>
                    <w:alias w:val="本企业的其他关联方情况明细－其他关联方与本公司关系"/>
                    <w:tag w:val="_GBC_2205fb8ea5f648b5a0c9e8e3f8499f9f"/>
                    <w:id w:val="251559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0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广西恒信工程质量检测咨询有限责任公司</w:t>
                    </w:r>
                  </w:p>
                </w:tc>
                <w:sdt>
                  <w:sdtPr>
                    <w:rPr>
                      <w:rFonts w:cs="Cambria"/>
                      <w:szCs w:val="21"/>
                    </w:rPr>
                    <w:alias w:val="本企业的其他关联方情况明细－其他关联方与本公司关系"/>
                    <w:tag w:val="_GBC_2205fb8ea5f648b5a0c9e8e3f8499f9f"/>
                    <w:id w:val="2515600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0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广西嘉源建设投资有限公司</w:t>
                    </w:r>
                  </w:p>
                </w:tc>
                <w:sdt>
                  <w:sdtPr>
                    <w:rPr>
                      <w:rFonts w:cs="Cambria"/>
                      <w:szCs w:val="21"/>
                    </w:rPr>
                    <w:alias w:val="本企业的其他关联方情况明细－其他关联方与本公司关系"/>
                    <w:tag w:val="_GBC_2205fb8ea5f648b5a0c9e8e3f8499f9f"/>
                    <w:id w:val="251560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06"/>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柳州市建合嘉投资管理有限责任公司</w:t>
                    </w:r>
                  </w:p>
                </w:tc>
                <w:sdt>
                  <w:sdtPr>
                    <w:rPr>
                      <w:rFonts w:cs="Cambria"/>
                      <w:szCs w:val="21"/>
                    </w:rPr>
                    <w:alias w:val="本企业的其他关联方情况明细－其他关联方与本公司关系"/>
                    <w:tag w:val="_GBC_2205fb8ea5f648b5a0c9e8e3f8499f9f"/>
                    <w:id w:val="251560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08"/>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柳州市建合源投资管理有限责任公司</w:t>
                    </w:r>
                  </w:p>
                </w:tc>
                <w:sdt>
                  <w:sdtPr>
                    <w:rPr>
                      <w:rFonts w:cs="Cambria"/>
                      <w:szCs w:val="21"/>
                    </w:rPr>
                    <w:alias w:val="本企业的其他关联方情况明细－其他关联方与本公司关系"/>
                    <w:tag w:val="_GBC_2205fb8ea5f648b5a0c9e8e3f8499f9f"/>
                    <w:id w:val="251560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1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广西汉润贸易有限公司</w:t>
                    </w:r>
                  </w:p>
                </w:tc>
                <w:sdt>
                  <w:sdtPr>
                    <w:rPr>
                      <w:rFonts w:cs="Cambria"/>
                      <w:szCs w:val="21"/>
                    </w:rPr>
                    <w:alias w:val="本企业的其他关联方情况明细－其他关联方与本公司关系"/>
                    <w:tag w:val="_GBC_2205fb8ea5f648b5a0c9e8e3f8499f9f"/>
                    <w:id w:val="251560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12"/>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广西顶峰不锈钢有限公司</w:t>
                    </w:r>
                  </w:p>
                </w:tc>
                <w:sdt>
                  <w:sdtPr>
                    <w:rPr>
                      <w:rFonts w:cs="Cambria"/>
                      <w:szCs w:val="21"/>
                    </w:rPr>
                    <w:alias w:val="本企业的其他关联方情况明细－其他关联方与本公司关系"/>
                    <w:tag w:val="_GBC_2205fb8ea5f648b5a0c9e8e3f8499f9f"/>
                    <w:id w:val="251560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5156014"/>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76"/>
                      <w:rPr>
                        <w:rFonts w:cs="Cambria"/>
                        <w:szCs w:val="21"/>
                      </w:rPr>
                    </w:pPr>
                    <w:r>
                      <w:rPr>
                        <w:rFonts w:hint="eastAsia" w:cs="Cambria"/>
                        <w:szCs w:val="21"/>
                      </w:rPr>
                      <w:t>柳州市兴佳酒店管理有限公司</w:t>
                    </w:r>
                  </w:p>
                </w:tc>
                <w:sdt>
                  <w:sdtPr>
                    <w:rPr>
                      <w:rFonts w:cs="Cambria"/>
                      <w:szCs w:val="21"/>
                    </w:rPr>
                    <w:alias w:val="本企业的其他关联方情况明细－其他关联方与本公司关系"/>
                    <w:tag w:val="_GBC_2205fb8ea5f648b5a0c9e8e3f8499f9f"/>
                    <w:id w:val="2515601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3554" w:type="dxa"/>
                        <w:tcBorders>
                          <w:top w:val="single" w:color="auto" w:sz="4" w:space="0"/>
                          <w:left w:val="single" w:color="auto" w:sz="4" w:space="0"/>
                          <w:bottom w:val="single" w:color="auto" w:sz="4" w:space="0"/>
                          <w:right w:val="single" w:color="auto" w:sz="4" w:space="0"/>
                        </w:tcBorders>
                      </w:tcPr>
                      <w:p>
                        <w:pPr>
                          <w:pStyle w:val="76"/>
                          <w:rPr>
                            <w:rFonts w:cs="Cambria"/>
                            <w:szCs w:val="21"/>
                          </w:rPr>
                        </w:pPr>
                        <w:r>
                          <w:rPr>
                            <w:rFonts w:hint="eastAsia" w:cs="Cambria"/>
                            <w:szCs w:val="21"/>
                          </w:rPr>
                          <w:t>母公司的控股子公司</w:t>
                        </w:r>
                      </w:p>
                    </w:tc>
                  </w:sdtContent>
                </w:sdt>
              </w:tr>
            </w:sdtContent>
          </w:sdt>
        </w:tbl>
        <w:p>
          <w:pPr>
            <w:pStyle w:val="76"/>
          </w:pPr>
        </w:p>
        <w:p>
          <w:pPr>
            <w:pStyle w:val="76"/>
            <w:tabs>
              <w:tab w:val="left" w:pos="1134"/>
            </w:tabs>
            <w:rPr>
              <w:rFonts w:cs="Cambria"/>
              <w:b/>
              <w:szCs w:val="21"/>
            </w:rPr>
          </w:pPr>
        </w:p>
      </w:sdtContent>
    </w:sdt>
    <w:p>
      <w:pPr>
        <w:pStyle w:val="79"/>
        <w:numPr>
          <w:ilvl w:val="0"/>
          <w:numId w:val="82"/>
        </w:numPr>
      </w:pPr>
      <w:r>
        <w:rPr>
          <w:rFonts w:hint="eastAsia"/>
        </w:rPr>
        <w:t>关联交易情况</w:t>
      </w:r>
    </w:p>
    <w:p>
      <w:pPr>
        <w:pStyle w:val="80"/>
        <w:numPr>
          <w:ilvl w:val="0"/>
          <w:numId w:val="83"/>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5156054"/>
        <w:lock w:val="sdtLocked"/>
        <w:placeholder>
          <w:docPart w:val="GBC22222222222222222222222222222"/>
        </w:placeholder>
      </w:sdtPr>
      <w:sdtEndPr>
        <w:rPr>
          <w:rFonts w:hint="default"/>
        </w:rPr>
      </w:sdtEndPr>
      <w:sdtContent>
        <w:p>
          <w:pPr>
            <w:pStyle w:val="76"/>
          </w:pPr>
          <w:r>
            <w:rPr>
              <w:rFonts w:hint="eastAsia"/>
            </w:rPr>
            <w:t>采购商品/接受劳务情况表</w:t>
          </w:r>
        </w:p>
        <w:sdt>
          <w:sdtPr>
            <w:alias w:val="是否适用：采购商品或接受劳务情况表[双击切换]"/>
            <w:tag w:val="_GBC_ba304c7536f34a3f9d88448fb11ca349"/>
            <w:id w:val="2515601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rFonts w:cs="Cambria"/>
              <w:b/>
              <w:bCs/>
              <w:szCs w:val="21"/>
            </w:rPr>
          </w:pPr>
          <w:r>
            <w:rPr>
              <w:rFonts w:hint="eastAsia" w:cs="Cambria"/>
              <w:szCs w:val="21"/>
            </w:rPr>
            <w:t>单位：</w:t>
          </w:r>
          <w:sdt>
            <w:sdtPr>
              <w:rPr>
                <w:rFonts w:hint="eastAsia" w:cs="Cambria"/>
                <w:szCs w:val="21"/>
              </w:rPr>
              <w:alias w:val="单位：采购商品接受劳务情况表"/>
              <w:tag w:val="_GBC_e8711f0989ee42659555a9f5631abd88"/>
              <w:id w:val="251560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cs="Cambria"/>
                <w:szCs w:val="21"/>
              </w:rPr>
            </w:sdtEndPr>
            <w:sdtContent>
              <w:r>
                <w:rPr>
                  <w:rFonts w:hint="eastAsia" w:cs="Cambria"/>
                  <w:szCs w:val="21"/>
                </w:rPr>
                <w:t>万元</w:t>
              </w:r>
            </w:sdtContent>
          </w:sdt>
          <w:r>
            <w:rPr>
              <w:rFonts w:hint="eastAsia" w:cs="Cambria"/>
              <w:szCs w:val="21"/>
            </w:rPr>
            <w:t xml:space="preserve">  币种：</w:t>
          </w:r>
          <w:sdt>
            <w:sdtPr>
              <w:rPr>
                <w:rFonts w:hint="eastAsia" w:cs="Cambria"/>
                <w:szCs w:val="21"/>
              </w:rPr>
              <w:alias w:val="币种：采购商品接受劳务情况表"/>
              <w:tag w:val="_GBC_dc28b68caa744ea9a5230887b822319a"/>
              <w:id w:val="25156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s="Cambria"/>
                <w:szCs w:val="21"/>
              </w:rPr>
            </w:sdtEndPr>
            <w:sdtContent>
              <w:r>
                <w:rPr>
                  <w:rFonts w:hint="eastAsia" w:cs="Cambr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7"/>
            <w:gridCol w:w="1560"/>
            <w:gridCol w:w="1843"/>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95" w:hRule="atLeast"/>
            </w:trPr>
            <w:sdt>
              <w:sdtPr>
                <w:rPr>
                  <w:sz w:val="18"/>
                  <w:szCs w:val="18"/>
                </w:rPr>
                <w:tag w:val="_PLD_5b37ccbdc11a45c3bbc2cf6527561c9d"/>
                <w:id w:val="25156019"/>
                <w:lock w:val="sdtLocked"/>
              </w:sdtPr>
              <w:sdtEndPr>
                <w:rPr>
                  <w:sz w:val="18"/>
                  <w:szCs w:val="18"/>
                </w:rPr>
              </w:sdtEndPr>
              <w:sdtContent>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关联方</w:t>
                    </w:r>
                  </w:p>
                </w:tc>
              </w:sdtContent>
            </w:sdt>
            <w:sdt>
              <w:sdtPr>
                <w:rPr>
                  <w:sz w:val="18"/>
                  <w:szCs w:val="18"/>
                </w:rPr>
                <w:tag w:val="_PLD_2d7b095c1f35485da0de73d655b7a571"/>
                <w:id w:val="25156020"/>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关联交易内容</w:t>
                    </w:r>
                  </w:p>
                </w:tc>
              </w:sdtContent>
            </w:sdt>
            <w:sdt>
              <w:sdtPr>
                <w:rPr>
                  <w:sz w:val="18"/>
                  <w:szCs w:val="18"/>
                </w:rPr>
                <w:tag w:val="_PLD_2d255188abfa41f4af0fad1a74ac6d6d"/>
                <w:id w:val="25156021"/>
                <w:lock w:val="sdtLocked"/>
              </w:sdtPr>
              <w:sdtEndPr>
                <w:rPr>
                  <w:sz w:val="18"/>
                  <w:szCs w:val="18"/>
                </w:rPr>
              </w:sdtEndPr>
              <w:sdtContent>
                <w:tc>
                  <w:tcPr>
                    <w:tcW w:w="1843" w:type="dxa"/>
                    <w:tcBorders>
                      <w:top w:val="single" w:color="auto" w:sz="4" w:space="0"/>
                      <w:left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本期发生额</w:t>
                    </w:r>
                  </w:p>
                </w:tc>
              </w:sdtContent>
            </w:sdt>
            <w:sdt>
              <w:sdtPr>
                <w:rPr>
                  <w:sz w:val="18"/>
                  <w:szCs w:val="18"/>
                </w:rPr>
                <w:tag w:val="_PLD_60fc9f0737164f9694363f102a4420bb"/>
                <w:id w:val="25156022"/>
                <w:lock w:val="sdtLocked"/>
              </w:sdtPr>
              <w:sdtEndPr>
                <w:rPr>
                  <w:sz w:val="18"/>
                  <w:szCs w:val="18"/>
                </w:rPr>
              </w:sdtEndPr>
              <w:sdtContent>
                <w:tc>
                  <w:tcPr>
                    <w:tcW w:w="1633" w:type="dxa"/>
                    <w:tcBorders>
                      <w:top w:val="single" w:color="auto" w:sz="4" w:space="0"/>
                      <w:left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上期发生额</w:t>
                    </w:r>
                  </w:p>
                </w:tc>
              </w:sdtContent>
            </w:sdt>
          </w:tr>
          <w:sdt>
            <w:sdtPr>
              <w:rPr>
                <w:sz w:val="18"/>
                <w:szCs w:val="18"/>
              </w:rPr>
              <w:alias w:val="采购商品接受劳务情况明细"/>
              <w:tag w:val="_GBC_0c9767805cb8416eaba14f759181aa29"/>
              <w:id w:val="2515602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生产用水</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4,657.24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4,431.24</w:t>
                    </w:r>
                  </w:p>
                </w:tc>
              </w:tr>
            </w:sdtContent>
          </w:sdt>
          <w:sdt>
            <w:sdtPr>
              <w:rPr>
                <w:sz w:val="18"/>
                <w:szCs w:val="18"/>
              </w:rPr>
              <w:alias w:val="采购商品接受劳务情况明细"/>
              <w:tag w:val="_GBC_0c9767805cb8416eaba14f759181aa29"/>
              <w:id w:val="2515602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生产用电</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78,052.27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71,179.71</w:t>
                    </w:r>
                  </w:p>
                </w:tc>
              </w:tr>
            </w:sdtContent>
          </w:sdt>
          <w:sdt>
            <w:sdtPr>
              <w:rPr>
                <w:sz w:val="18"/>
                <w:szCs w:val="18"/>
              </w:rPr>
              <w:alias w:val="采购商品接受劳务情况明细"/>
              <w:tag w:val="_GBC_0c9767805cb8416eaba14f759181aa29"/>
              <w:id w:val="2515602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煤气</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43,651.32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38,018.26</w:t>
                    </w:r>
                  </w:p>
                </w:tc>
              </w:tr>
            </w:sdtContent>
          </w:sdt>
          <w:sdt>
            <w:sdtPr>
              <w:rPr>
                <w:sz w:val="18"/>
                <w:szCs w:val="18"/>
              </w:rPr>
              <w:alias w:val="采购商品接受劳务情况明细"/>
              <w:tag w:val="_GBC_0c9767805cb8416eaba14f759181aa29"/>
              <w:id w:val="2515602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氧气</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25,616.79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22,296.50</w:t>
                    </w:r>
                  </w:p>
                </w:tc>
              </w:tr>
            </w:sdtContent>
          </w:sdt>
          <w:sdt>
            <w:sdtPr>
              <w:rPr>
                <w:sz w:val="18"/>
                <w:szCs w:val="18"/>
              </w:rPr>
              <w:alias w:val="采购商品接受劳务情况明细"/>
              <w:tag w:val="_GBC_0c9767805cb8416eaba14f759181aa29"/>
              <w:id w:val="2515602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其他气体</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27,960.59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24,032.76</w:t>
                    </w:r>
                  </w:p>
                </w:tc>
              </w:tr>
            </w:sdtContent>
          </w:sdt>
          <w:sdt>
            <w:sdtPr>
              <w:rPr>
                <w:sz w:val="18"/>
                <w:szCs w:val="18"/>
              </w:rPr>
              <w:alias w:val="采购商品接受劳务情况明细"/>
              <w:tag w:val="_GBC_0c9767805cb8416eaba14f759181aa29"/>
              <w:id w:val="2515602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耐火材料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16,889.98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16,091.49</w:t>
                    </w:r>
                  </w:p>
                </w:tc>
              </w:tr>
            </w:sdtContent>
          </w:sdt>
          <w:sdt>
            <w:sdtPr>
              <w:rPr>
                <w:sz w:val="18"/>
                <w:szCs w:val="18"/>
              </w:rPr>
              <w:alias w:val="采购商品接受劳务情况明细"/>
              <w:tag w:val="_GBC_0c9767805cb8416eaba14f759181aa29"/>
              <w:id w:val="2515602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劳务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3,640.91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11,768.71</w:t>
                    </w:r>
                  </w:p>
                </w:tc>
              </w:tr>
            </w:sdtContent>
          </w:sdt>
          <w:sdt>
            <w:sdtPr>
              <w:rPr>
                <w:sz w:val="18"/>
                <w:szCs w:val="18"/>
              </w:rPr>
              <w:alias w:val="采购商品接受劳务情况明细"/>
              <w:tag w:val="_GBC_0c9767805cb8416eaba14f759181aa29"/>
              <w:id w:val="2515603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粉矿</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958.27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1,003.59</w:t>
                    </w:r>
                  </w:p>
                </w:tc>
              </w:tr>
            </w:sdtContent>
          </w:sdt>
          <w:sdt>
            <w:sdtPr>
              <w:rPr>
                <w:sz w:val="18"/>
                <w:szCs w:val="18"/>
              </w:rPr>
              <w:alias w:val="采购商品接受劳务情况明细"/>
              <w:tag w:val="_GBC_0c9767805cb8416eaba14f759181aa29"/>
              <w:id w:val="2515603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备件材料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4,529.66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7,459.42</w:t>
                    </w:r>
                  </w:p>
                </w:tc>
              </w:tr>
            </w:sdtContent>
          </w:sdt>
          <w:sdt>
            <w:sdtPr>
              <w:rPr>
                <w:sz w:val="18"/>
                <w:szCs w:val="18"/>
              </w:rPr>
              <w:alias w:val="采购商品接受劳务情况明细"/>
              <w:tag w:val="_GBC_0c9767805cb8416eaba14f759181aa29"/>
              <w:id w:val="2515603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废钢</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11,189.67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9,509.52</w:t>
                    </w:r>
                  </w:p>
                </w:tc>
              </w:tr>
            </w:sdtContent>
          </w:sdt>
          <w:sdt>
            <w:sdtPr>
              <w:rPr>
                <w:sz w:val="18"/>
                <w:szCs w:val="18"/>
              </w:rPr>
              <w:alias w:val="采购商品接受劳务情况明细"/>
              <w:tag w:val="_GBC_0c9767805cb8416eaba14f759181aa29"/>
              <w:id w:val="2515603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其他</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510.57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107.12</w:t>
                    </w:r>
                  </w:p>
                </w:tc>
              </w:tr>
            </w:sdtContent>
          </w:sdt>
          <w:sdt>
            <w:sdtPr>
              <w:rPr>
                <w:sz w:val="18"/>
                <w:szCs w:val="18"/>
              </w:rPr>
              <w:alias w:val="采购商品接受劳务情况明细"/>
              <w:tag w:val="_GBC_0c9767805cb8416eaba14f759181aa29"/>
              <w:id w:val="2515603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志港实业有限公司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矿石、煤</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273,907.02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162,001.46</w:t>
                    </w:r>
                  </w:p>
                </w:tc>
              </w:tr>
            </w:sdtContent>
          </w:sdt>
          <w:sdt>
            <w:sdtPr>
              <w:rPr>
                <w:sz w:val="18"/>
                <w:szCs w:val="18"/>
              </w:rPr>
              <w:alias w:val="采购商品接受劳务情况明细"/>
              <w:tag w:val="_GBC_0c9767805cb8416eaba14f759181aa29"/>
              <w:id w:val="2515603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广西柳钢国际贸易有限公司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煤炭、矿石</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226,357.47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68,023.47</w:t>
                    </w:r>
                  </w:p>
                </w:tc>
              </w:tr>
            </w:sdtContent>
          </w:sdt>
          <w:sdt>
            <w:sdtPr>
              <w:rPr>
                <w:sz w:val="18"/>
                <w:szCs w:val="18"/>
              </w:rPr>
              <w:alias w:val="采购商品接受劳务情况明细"/>
              <w:tag w:val="_GBC_0c9767805cb8416eaba14f759181aa29"/>
              <w:id w:val="2515603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柳州市运天运运输有限公司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运费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7,864.23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6,097.65</w:t>
                    </w:r>
                  </w:p>
                </w:tc>
              </w:tr>
            </w:sdtContent>
          </w:sdt>
          <w:sdt>
            <w:sdtPr>
              <w:rPr>
                <w:sz w:val="18"/>
                <w:szCs w:val="18"/>
              </w:rPr>
              <w:alias w:val="采购商品接受劳务情况明细"/>
              <w:tag w:val="_GBC_0c9767805cb8416eaba14f759181aa29"/>
              <w:id w:val="2515603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柳州兴钢建筑安装工程处</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7,741.33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4,532.89</w:t>
                    </w:r>
                  </w:p>
                </w:tc>
              </w:tr>
            </w:sdtContent>
          </w:sdt>
          <w:sdt>
            <w:sdtPr>
              <w:rPr>
                <w:sz w:val="18"/>
                <w:szCs w:val="18"/>
              </w:rPr>
              <w:alias w:val="采购商品接受劳务情况明细"/>
              <w:tag w:val="_GBC_0c9767805cb8416eaba14f759181aa29"/>
              <w:id w:val="2515603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广西柳钢资产经营管理有限公司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煤炭</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6,075.04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1,348.81</w:t>
                    </w:r>
                  </w:p>
                </w:tc>
              </w:tr>
            </w:sdtContent>
          </w:sdt>
          <w:sdt>
            <w:sdtPr>
              <w:rPr>
                <w:sz w:val="18"/>
                <w:szCs w:val="18"/>
              </w:rPr>
              <w:alias w:val="采购商品接受劳务情况明细"/>
              <w:tag w:val="_GBC_0c9767805cb8416eaba14f759181aa29"/>
              <w:id w:val="2515603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柳州兴远劳务有限公司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劳务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3,265.86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2,958.64</w:t>
                    </w:r>
                  </w:p>
                </w:tc>
              </w:tr>
            </w:sdtContent>
          </w:sdt>
          <w:sdt>
            <w:sdtPr>
              <w:rPr>
                <w:sz w:val="18"/>
                <w:szCs w:val="18"/>
              </w:rPr>
              <w:alias w:val="采购商品接受劳务情况明细"/>
              <w:tag w:val="_GBC_0c9767805cb8416eaba14f759181aa29"/>
              <w:id w:val="2515604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柳州市盛鹏源环保科技有限公司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化工产品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966.15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502.34</w:t>
                    </w:r>
                  </w:p>
                </w:tc>
              </w:tr>
            </w:sdtContent>
          </w:sdt>
          <w:sdt>
            <w:sdtPr>
              <w:rPr>
                <w:sz w:val="18"/>
                <w:szCs w:val="18"/>
              </w:rPr>
              <w:alias w:val="采购商品接受劳务情况明细"/>
              <w:tag w:val="_GBC_0c9767805cb8416eaba14f759181aa29"/>
              <w:id w:val="2515604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柳州市惕艾惕冶金余热发电有限公司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冷凝水</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12.84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6,510.32</w:t>
                    </w:r>
                  </w:p>
                </w:tc>
              </w:tr>
            </w:sdtContent>
          </w:sdt>
          <w:sdt>
            <w:sdtPr>
              <w:rPr>
                <w:sz w:val="18"/>
                <w:szCs w:val="18"/>
              </w:rPr>
              <w:alias w:val="采购商品接受劳务情况明细"/>
              <w:tag w:val="_GBC_0c9767805cb8416eaba14f759181aa29"/>
              <w:id w:val="2515604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柳州市多元贸易有限责任公司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废钢</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833.76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619.91</w:t>
                    </w:r>
                  </w:p>
                </w:tc>
              </w:tr>
            </w:sdtContent>
          </w:sdt>
          <w:sdt>
            <w:sdtPr>
              <w:rPr>
                <w:sz w:val="18"/>
                <w:szCs w:val="18"/>
              </w:rPr>
              <w:alias w:val="采购商品接受劳务情况明细"/>
              <w:tag w:val="_GBC_0c9767805cb8416eaba14f759181aa29"/>
              <w:id w:val="2515604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广西华锐钢铁工程设计咨询有限责任公司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工程设计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686.85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235.68</w:t>
                    </w:r>
                  </w:p>
                </w:tc>
              </w:tr>
            </w:sdtContent>
          </w:sdt>
          <w:sdt>
            <w:sdtPr>
              <w:rPr>
                <w:sz w:val="18"/>
                <w:szCs w:val="18"/>
              </w:rPr>
              <w:alias w:val="采购商品接受劳务情况明细"/>
              <w:tag w:val="_GBC_0c9767805cb8416eaba14f759181aa29"/>
              <w:id w:val="2515604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柳州市红星园艺场</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食品、养护</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540.35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127.13</w:t>
                    </w:r>
                  </w:p>
                </w:tc>
              </w:tr>
            </w:sdtContent>
          </w:sdt>
          <w:sdt>
            <w:sdtPr>
              <w:rPr>
                <w:sz w:val="18"/>
                <w:szCs w:val="18"/>
              </w:rPr>
              <w:alias w:val="采购商品接受劳务情况明细"/>
              <w:tag w:val="_GBC_0c9767805cb8416eaba14f759181aa29"/>
              <w:id w:val="2515604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广西柳钢物流有限责任公司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运费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508.37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16.92</w:t>
                    </w:r>
                  </w:p>
                </w:tc>
              </w:tr>
            </w:sdtContent>
          </w:sdt>
          <w:sdt>
            <w:sdtPr>
              <w:rPr>
                <w:sz w:val="18"/>
                <w:szCs w:val="18"/>
              </w:rPr>
              <w:alias w:val="采购商品接受劳务情况明细"/>
              <w:tag w:val="_GBC_0c9767805cb8416eaba14f759181aa29"/>
              <w:id w:val="2515604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柳州市钢花工程建筑监理有限责任公司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监理费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74.78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52.43</w:t>
                    </w:r>
                  </w:p>
                </w:tc>
              </w:tr>
            </w:sdtContent>
          </w:sdt>
          <w:sdt>
            <w:sdtPr>
              <w:rPr>
                <w:sz w:val="18"/>
                <w:szCs w:val="18"/>
              </w:rPr>
              <w:alias w:val="采购商品接受劳务情况明细"/>
              <w:tag w:val="_GBC_0c9767805cb8416eaba14f759181aa29"/>
              <w:id w:val="2515604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广西柳州新锐文化传媒有限责任公司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办公用品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98.92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62.00</w:t>
                    </w:r>
                  </w:p>
                </w:tc>
              </w:tr>
            </w:sdtContent>
          </w:sdt>
          <w:sdt>
            <w:sdtPr>
              <w:rPr>
                <w:sz w:val="18"/>
                <w:szCs w:val="18"/>
              </w:rPr>
              <w:alias w:val="采购商品接受劳务情况明细"/>
              <w:tag w:val="_GBC_0c9767805cb8416eaba14f759181aa29"/>
              <w:id w:val="2515604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柳州市强实科技有限公司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水泥</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43.85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61.93</w:t>
                    </w:r>
                  </w:p>
                </w:tc>
              </w:tr>
            </w:sdtContent>
          </w:sdt>
          <w:sdt>
            <w:sdtPr>
              <w:rPr>
                <w:sz w:val="18"/>
                <w:szCs w:val="18"/>
              </w:rPr>
              <w:alias w:val="采购商品接受劳务情况明细"/>
              <w:tag w:val="_GBC_0c9767805cb8416eaba14f759181aa29"/>
              <w:id w:val="2515604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柳州市环源利环境资源技术开发有限公司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工业加工</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4,652.96</w:t>
                    </w:r>
                  </w:p>
                </w:tc>
              </w:tr>
            </w:sdtContent>
          </w:sdt>
          <w:sdt>
            <w:sdtPr>
              <w:rPr>
                <w:sz w:val="18"/>
                <w:szCs w:val="18"/>
              </w:rPr>
              <w:alias w:val="采购商品接受劳务情况明细"/>
              <w:tag w:val="_GBC_0c9767805cb8416eaba14f759181aa29"/>
              <w:id w:val="2515605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柳州市曼凯亚科技有限责任公司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劳保用品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237.12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266.75</w:t>
                    </w:r>
                  </w:p>
                </w:tc>
              </w:tr>
            </w:sdtContent>
          </w:sdt>
          <w:sdt>
            <w:sdtPr>
              <w:rPr>
                <w:sz w:val="18"/>
                <w:szCs w:val="18"/>
              </w:rPr>
              <w:alias w:val="采购商品接受劳务情况明细"/>
              <w:tag w:val="_GBC_0c9767805cb8416eaba14f759181aa29"/>
              <w:id w:val="2515605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柳州瑞昱钢铁国际贸易有限公司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材料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1.82</w:t>
                    </w:r>
                  </w:p>
                </w:tc>
              </w:tr>
            </w:sdtContent>
          </w:sdt>
          <w:sdt>
            <w:sdtPr>
              <w:rPr>
                <w:sz w:val="18"/>
                <w:szCs w:val="18"/>
              </w:rPr>
              <w:alias w:val="采购商品接受劳务情况明细"/>
              <w:tag w:val="_GBC_0c9767805cb8416eaba14f759181aa29"/>
              <w:id w:val="2515605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柳州锐源鹏节能环保科技有限公司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废钢</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48.85</w:t>
                    </w:r>
                  </w:p>
                </w:tc>
              </w:tr>
            </w:sdtContent>
          </w:sdt>
          <w:sdt>
            <w:sdtPr>
              <w:rPr>
                <w:sz w:val="18"/>
                <w:szCs w:val="18"/>
              </w:rPr>
              <w:alias w:val="采购商品接受劳务情况明细"/>
              <w:tag w:val="_GBC_0c9767805cb8416eaba14f759181aa29"/>
              <w:id w:val="2515605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857"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sz w:val="18"/>
                        <w:szCs w:val="18"/>
                      </w:rPr>
                    </w:pPr>
                    <w:r>
                      <w:rPr>
                        <w:sz w:val="18"/>
                        <w:szCs w:val="18"/>
                      </w:rPr>
                      <w:t>合计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746,871.22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464,020.28</w:t>
                    </w:r>
                  </w:p>
                </w:tc>
              </w:tr>
            </w:sdtContent>
          </w:sdt>
        </w:tbl>
        <w:p>
          <w:pPr>
            <w:pStyle w:val="76"/>
          </w:pPr>
        </w:p>
        <w:p>
          <w:pPr>
            <w:pStyle w:val="76"/>
          </w:pPr>
        </w:p>
      </w:sdtContent>
    </w:sdt>
    <w:sdt>
      <w:sdtPr>
        <w:rPr>
          <w:rFonts w:hint="eastAsia"/>
          <w:szCs w:val="21"/>
        </w:rPr>
        <w:alias w:val="模块:出售商品/提供劳务情况"/>
        <w:tag w:val="_GBC_a4e1c0efe9f741ecbb648a33c9afb8fd"/>
        <w:id w:val="25156097"/>
        <w:lock w:val="sdtLocked"/>
        <w:placeholder>
          <w:docPart w:val="GBC22222222222222222222222222222"/>
        </w:placeholder>
      </w:sdtPr>
      <w:sdtEndPr>
        <w:rPr>
          <w:rFonts w:hint="eastAsia" w:cs="Cambria"/>
          <w:szCs w:val="21"/>
        </w:rPr>
      </w:sdtEndPr>
      <w:sdtContent>
        <w:p>
          <w:pPr>
            <w:pStyle w:val="76"/>
            <w:ind w:right="-775" w:rightChars="-369"/>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25156055"/>
            <w:lock w:val="sdtContentLocked"/>
            <w:placeholder>
              <w:docPart w:val="GBC22222222222222222222222222222"/>
            </w:placeholder>
          </w:sdtPr>
          <w:sdtEndPr>
            <w:rPr>
              <w:szCs w:val="21"/>
            </w:rPr>
          </w:sdtEndPr>
          <w:sdtContent>
            <w:p>
              <w:pPr>
                <w:pStyle w:val="76"/>
                <w:ind w:right="-775" w:rightChars="-369"/>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251560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szCs w:val="21"/>
                </w:rPr>
                <w:t>万元</w:t>
              </w:r>
            </w:sdtContent>
          </w:sdt>
          <w:r>
            <w:rPr>
              <w:szCs w:val="21"/>
            </w:rPr>
            <w:t xml:space="preserve">  币种：</w:t>
          </w:r>
          <w:sdt>
            <w:sdtPr>
              <w:rPr>
                <w:szCs w:val="21"/>
              </w:rPr>
              <w:alias w:val="币种：出售商品提供劳务情况表"/>
              <w:tag w:val="_GBC_d298f57687684d2eafef1d8c13d51722"/>
              <w:id w:val="251560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716"/>
            <w:gridCol w:w="1844"/>
            <w:gridCol w:w="1700"/>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73" w:hRule="atLeast"/>
            </w:trPr>
            <w:sdt>
              <w:sdtPr>
                <w:rPr>
                  <w:sz w:val="18"/>
                  <w:szCs w:val="18"/>
                </w:rPr>
                <w:tag w:val="_PLD_70510986aab647e99b00ba57c32e64cd"/>
                <w:id w:val="25156058"/>
                <w:lock w:val="sdtLocked"/>
              </w:sdtPr>
              <w:sdtEndPr>
                <w:rPr>
                  <w:sz w:val="18"/>
                  <w:szCs w:val="18"/>
                </w:rPr>
              </w:sdtEndPr>
              <w:sdtContent>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关联方</w:t>
                    </w:r>
                  </w:p>
                </w:tc>
              </w:sdtContent>
            </w:sdt>
            <w:sdt>
              <w:sdtPr>
                <w:rPr>
                  <w:sz w:val="18"/>
                  <w:szCs w:val="18"/>
                </w:rPr>
                <w:tag w:val="_PLD_66da90262f3d401c8151235b4c6f5e93"/>
                <w:id w:val="25156059"/>
                <w:lock w:val="sdtLocked"/>
              </w:sdtPr>
              <w:sdtEndPr>
                <w:rPr>
                  <w:sz w:val="18"/>
                  <w:szCs w:val="18"/>
                </w:rPr>
              </w:sdtEndPr>
              <w:sdtContent>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关联交易内容</w:t>
                    </w:r>
                  </w:p>
                </w:tc>
              </w:sdtContent>
            </w:sdt>
            <w:sdt>
              <w:sdtPr>
                <w:rPr>
                  <w:sz w:val="18"/>
                  <w:szCs w:val="18"/>
                </w:rPr>
                <w:tag w:val="_PLD_09c424bd80324eb49dafea569ce1931b"/>
                <w:id w:val="25156060"/>
                <w:lock w:val="sdtLocked"/>
              </w:sdtPr>
              <w:sdtEndPr>
                <w:rPr>
                  <w:sz w:val="18"/>
                  <w:szCs w:val="18"/>
                </w:rPr>
              </w:sdtEndPr>
              <w:sdtContent>
                <w:tc>
                  <w:tcPr>
                    <w:tcW w:w="1700" w:type="dxa"/>
                    <w:tcBorders>
                      <w:top w:val="single" w:color="auto" w:sz="4" w:space="0"/>
                      <w:left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本期发生额</w:t>
                    </w:r>
                  </w:p>
                </w:tc>
              </w:sdtContent>
            </w:sdt>
            <w:sdt>
              <w:sdtPr>
                <w:rPr>
                  <w:sz w:val="18"/>
                  <w:szCs w:val="18"/>
                </w:rPr>
                <w:tag w:val="_PLD_fd0f9e0691744db49d5ceaf95d42197c"/>
                <w:id w:val="25156061"/>
                <w:lock w:val="sdtLocked"/>
              </w:sdtPr>
              <w:sdtEndPr>
                <w:rPr>
                  <w:sz w:val="18"/>
                  <w:szCs w:val="18"/>
                </w:rPr>
              </w:sdtEndPr>
              <w:sdtContent>
                <w:tc>
                  <w:tcPr>
                    <w:tcW w:w="1633" w:type="dxa"/>
                    <w:tcBorders>
                      <w:top w:val="single" w:color="auto" w:sz="4" w:space="0"/>
                      <w:left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上期发生额</w:t>
                    </w:r>
                  </w:p>
                </w:tc>
              </w:sdtContent>
            </w:sdt>
          </w:tr>
          <w:sdt>
            <w:sdtPr>
              <w:rPr>
                <w:sz w:val="18"/>
                <w:szCs w:val="18"/>
              </w:rPr>
              <w:alias w:val="出售商品提供劳务情况明细"/>
              <w:tag w:val="_GBC_d6e24b6ca62645f180ecf5d4621afdc6"/>
              <w:id w:val="2515606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代购备件材料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117.52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825.84</w:t>
                    </w:r>
                  </w:p>
                </w:tc>
              </w:tr>
            </w:sdtContent>
          </w:sdt>
          <w:sdt>
            <w:sdtPr>
              <w:rPr>
                <w:sz w:val="18"/>
                <w:szCs w:val="18"/>
              </w:rPr>
              <w:alias w:val="出售商品提供劳务情况明细"/>
              <w:tag w:val="_GBC_d6e24b6ca62645f180ecf5d4621afdc6"/>
              <w:id w:val="2515606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工业水电</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4,698.39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5,722.98</w:t>
                    </w:r>
                  </w:p>
                </w:tc>
              </w:tr>
            </w:sdtContent>
          </w:sdt>
          <w:sdt>
            <w:sdtPr>
              <w:rPr>
                <w:sz w:val="18"/>
                <w:szCs w:val="18"/>
              </w:rPr>
              <w:alias w:val="出售商品提供劳务情况明细"/>
              <w:tag w:val="_GBC_d6e24b6ca62645f180ecf5d4621afdc6"/>
              <w:id w:val="2515606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7,491.88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9,530.37</w:t>
                    </w:r>
                  </w:p>
                </w:tc>
              </w:tr>
            </w:sdtContent>
          </w:sdt>
          <w:sdt>
            <w:sdtPr>
              <w:rPr>
                <w:sz w:val="18"/>
                <w:szCs w:val="18"/>
              </w:rPr>
              <w:alias w:val="出售商品提供劳务情况明细"/>
              <w:tag w:val="_GBC_d6e24b6ca62645f180ecf5d4621afdc6"/>
              <w:id w:val="2515606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蒸汽</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13,205.06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11,961.23</w:t>
                    </w:r>
                  </w:p>
                </w:tc>
              </w:tr>
            </w:sdtContent>
          </w:sdt>
          <w:sdt>
            <w:sdtPr>
              <w:rPr>
                <w:sz w:val="18"/>
                <w:szCs w:val="18"/>
              </w:rPr>
              <w:alias w:val="出售商品提供劳务情况明细"/>
              <w:tag w:val="_GBC_d6e24b6ca62645f180ecf5d4621afdc6"/>
              <w:id w:val="2515606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煤气</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137,433.83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129,715.21</w:t>
                    </w:r>
                  </w:p>
                </w:tc>
              </w:tr>
            </w:sdtContent>
          </w:sdt>
          <w:sdt>
            <w:sdtPr>
              <w:rPr>
                <w:sz w:val="18"/>
                <w:szCs w:val="18"/>
              </w:rPr>
              <w:alias w:val="出售商品提供劳务情况明细"/>
              <w:tag w:val="_GBC_d6e24b6ca62645f180ecf5d4621afdc6"/>
              <w:id w:val="2515606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广西柳州钢铁(集团)公司广东分公司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钢材</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43,457.99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38,945.37</w:t>
                    </w:r>
                  </w:p>
                </w:tc>
              </w:tr>
            </w:sdtContent>
          </w:sdt>
          <w:sdt>
            <w:sdtPr>
              <w:rPr>
                <w:sz w:val="18"/>
                <w:szCs w:val="18"/>
              </w:rPr>
              <w:alias w:val="出售商品提供劳务情况明细"/>
              <w:tag w:val="_GBC_d6e24b6ca62645f180ecf5d4621afdc6"/>
              <w:id w:val="2515606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广西南宁柳钢钢材销售有限公司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钢材</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34,539.54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31,250.21</w:t>
                    </w:r>
                  </w:p>
                </w:tc>
              </w:tr>
            </w:sdtContent>
          </w:sdt>
          <w:sdt>
            <w:sdtPr>
              <w:rPr>
                <w:sz w:val="18"/>
                <w:szCs w:val="18"/>
              </w:rPr>
              <w:alias w:val="出售商品提供劳务情况明细"/>
              <w:tag w:val="_GBC_d6e24b6ca62645f180ecf5d4621afdc6"/>
              <w:id w:val="2515606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桂林市刚茂升贸易有限公司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钢材</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34,620.59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16,860.69</w:t>
                    </w:r>
                  </w:p>
                </w:tc>
              </w:tr>
            </w:sdtContent>
          </w:sdt>
          <w:sdt>
            <w:sdtPr>
              <w:rPr>
                <w:sz w:val="18"/>
                <w:szCs w:val="18"/>
              </w:rPr>
              <w:alias w:val="出售商品提供劳务情况明细"/>
              <w:tag w:val="_GBC_d6e24b6ca62645f180ecf5d4621afdc6"/>
              <w:id w:val="2515607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广西华锐钢铁工程设计咨询有限责任公司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工程设计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广西柳钢环保股份有限公司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备件材料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广西柳钢环保股份有限公司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1,823.46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广西柳钢阳光钢结构有限公司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7.25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广西柳钢资产经营管理有限公司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-0.09</w:t>
                    </w:r>
                  </w:p>
                </w:tc>
              </w:tr>
            </w:sdtContent>
          </w:sdt>
          <w:sdt>
            <w:sdtPr>
              <w:rPr>
                <w:sz w:val="18"/>
                <w:szCs w:val="18"/>
              </w:rPr>
              <w:alias w:val="出售商品提供劳务情况明细"/>
              <w:tag w:val="_GBC_d6e24b6ca62645f180ecf5d4621afdc6"/>
              <w:id w:val="2515607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柳州锐源鹏节能环保科技有限公司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柳州山海科技股份有限公司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2.61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7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柳州市多元贸易有限责任公司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检验费</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192.61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0.70</w:t>
                    </w:r>
                  </w:p>
                </w:tc>
              </w:tr>
            </w:sdtContent>
          </w:sdt>
          <w:sdt>
            <w:sdtPr>
              <w:rPr>
                <w:sz w:val="18"/>
                <w:szCs w:val="18"/>
              </w:rPr>
              <w:alias w:val="出售商品提供劳务情况明细"/>
              <w:tag w:val="_GBC_d6e24b6ca62645f180ecf5d4621afdc6"/>
              <w:id w:val="251560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柳州市曼凯亚科技有限责任公司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0.14</w:t>
                    </w:r>
                  </w:p>
                </w:tc>
              </w:tr>
            </w:sdtContent>
          </w:sdt>
          <w:sdt>
            <w:sdtPr>
              <w:rPr>
                <w:sz w:val="18"/>
                <w:szCs w:val="18"/>
              </w:rPr>
              <w:alias w:val="出售商品提供劳务情况明细"/>
              <w:tag w:val="_GBC_d6e24b6ca62645f180ecf5d4621afdc6"/>
              <w:id w:val="2515607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柳州市强实科技有限公司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15,126.24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7,126.87</w:t>
                    </w:r>
                  </w:p>
                </w:tc>
              </w:tr>
            </w:sdtContent>
          </w:sdt>
          <w:sdt>
            <w:sdtPr>
              <w:rPr>
                <w:sz w:val="18"/>
                <w:szCs w:val="18"/>
              </w:rPr>
              <w:alias w:val="出售商品提供劳务情况明细"/>
              <w:tag w:val="_GBC_d6e24b6ca62645f180ecf5d4621afdc6"/>
              <w:id w:val="2515608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柳州市瑞中运储运有限公司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4.29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8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柳州市惕艾惕冶金余热发电有限公司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2.77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64.24</w:t>
                    </w:r>
                  </w:p>
                </w:tc>
              </w:tr>
            </w:sdtContent>
          </w:sdt>
          <w:sdt>
            <w:sdtPr>
              <w:rPr>
                <w:sz w:val="18"/>
                <w:szCs w:val="18"/>
              </w:rPr>
              <w:alias w:val="出售商品提供劳务情况明细"/>
              <w:tag w:val="_GBC_d6e24b6ca62645f180ecf5d4621afdc6"/>
              <w:id w:val="2515608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柳州市新和刚电力有限责任公司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53.75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22.30</w:t>
                    </w:r>
                  </w:p>
                </w:tc>
              </w:tr>
            </w:sdtContent>
          </w:sdt>
          <w:sdt>
            <w:sdtPr>
              <w:rPr>
                <w:sz w:val="18"/>
                <w:szCs w:val="18"/>
              </w:rPr>
              <w:alias w:val="出售商品提供劳务情况明细"/>
              <w:tag w:val="_GBC_d6e24b6ca62645f180ecf5d4621afdc6"/>
              <w:id w:val="2515608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柳州市新游化工有限责任公司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化工产品</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35,318.76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30,833.85</w:t>
                    </w:r>
                  </w:p>
                </w:tc>
              </w:tr>
            </w:sdtContent>
          </w:sdt>
          <w:sdt>
            <w:sdtPr>
              <w:rPr>
                <w:sz w:val="18"/>
                <w:szCs w:val="18"/>
              </w:rPr>
              <w:alias w:val="出售商品提供劳务情况明细"/>
              <w:tag w:val="_GBC_d6e24b6ca62645f180ecf5d4621afdc6"/>
              <w:id w:val="2515608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柳州市兴钢建筑安装工程处</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工业水电</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1.58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1.48</w:t>
                    </w:r>
                  </w:p>
                </w:tc>
              </w:tr>
            </w:sdtContent>
          </w:sdt>
          <w:sdt>
            <w:sdtPr>
              <w:rPr>
                <w:sz w:val="18"/>
                <w:szCs w:val="18"/>
              </w:rPr>
              <w:alias w:val="出售商品提供劳务情况明细"/>
              <w:tag w:val="_GBC_d6e24b6ca62645f180ecf5d4621afdc6"/>
              <w:id w:val="2515608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柳州市兴钢建筑安装工程处</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备件材料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13.40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227.73</w:t>
                    </w:r>
                  </w:p>
                </w:tc>
              </w:tr>
            </w:sdtContent>
          </w:sdt>
          <w:sdt>
            <w:sdtPr>
              <w:rPr>
                <w:sz w:val="18"/>
                <w:szCs w:val="18"/>
              </w:rPr>
              <w:alias w:val="出售商品提供劳务情况明细"/>
              <w:tag w:val="_GBC_d6e24b6ca62645f180ecf5d4621afdc6"/>
              <w:id w:val="2515608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柳州市兴钢建筑安装工程处</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225.28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129.75</w:t>
                    </w:r>
                  </w:p>
                </w:tc>
              </w:tr>
            </w:sdtContent>
          </w:sdt>
          <w:sdt>
            <w:sdtPr>
              <w:rPr>
                <w:sz w:val="18"/>
                <w:szCs w:val="18"/>
              </w:rPr>
              <w:alias w:val="出售商品提供劳务情况明细"/>
              <w:tag w:val="_GBC_d6e24b6ca62645f180ecf5d4621afdc6"/>
              <w:id w:val="2515608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柳州市运天运运输有限公司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718.76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1,132.93</w:t>
                    </w:r>
                  </w:p>
                </w:tc>
              </w:tr>
            </w:sdtContent>
          </w:sdt>
          <w:sdt>
            <w:sdtPr>
              <w:rPr>
                <w:sz w:val="18"/>
                <w:szCs w:val="18"/>
              </w:rPr>
              <w:alias w:val="出售商品提供劳务情况明细"/>
              <w:tag w:val="_GBC_d6e24b6ca62645f180ecf5d4621afdc6"/>
              <w:id w:val="2515608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十一冶建设集团有限责任公司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钢材</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1,520.84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r>
            </w:sdtContent>
          </w:sdt>
          <w:sdt>
            <w:sdtPr>
              <w:rPr>
                <w:sz w:val="18"/>
                <w:szCs w:val="18"/>
              </w:rPr>
              <w:alias w:val="出售商品提供劳务情况明细"/>
              <w:tag w:val="_GBC_d6e24b6ca62645f180ecf5d4621afdc6"/>
              <w:id w:val="2515608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柳州市品成金属材料有限公司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钢坯</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697,462.95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681,124.61</w:t>
                    </w:r>
                  </w:p>
                </w:tc>
              </w:tr>
            </w:sdtContent>
          </w:sdt>
          <w:sdt>
            <w:sdtPr>
              <w:rPr>
                <w:sz w:val="18"/>
                <w:szCs w:val="18"/>
              </w:rPr>
              <w:alias w:val="出售商品提供劳务情况明细"/>
              <w:tag w:val="_GBC_d6e24b6ca62645f180ecf5d4621afdc6"/>
              <w:id w:val="2515609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柳州兴远劳务有限公司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劳务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0.06</w:t>
                    </w:r>
                  </w:p>
                </w:tc>
              </w:tr>
            </w:sdtContent>
          </w:sdt>
          <w:sdt>
            <w:sdtPr>
              <w:rPr>
                <w:sz w:val="18"/>
                <w:szCs w:val="18"/>
              </w:rPr>
              <w:alias w:val="出售商品提供劳务情况明细"/>
              <w:tag w:val="_GBC_d6e24b6ca62645f180ecf5d4621afdc6"/>
              <w:id w:val="2515609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柳州市盛源鹏环保科技有限公司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0.83</w:t>
                    </w:r>
                  </w:p>
                </w:tc>
              </w:tr>
            </w:sdtContent>
          </w:sdt>
          <w:sdt>
            <w:sdtPr>
              <w:rPr>
                <w:sz w:val="18"/>
                <w:szCs w:val="18"/>
              </w:rPr>
              <w:alias w:val="出售商品提供劳务情况明细"/>
              <w:tag w:val="_GBC_d6e24b6ca62645f180ecf5d4621afdc6"/>
              <w:id w:val="2515609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广西柳钢物流有限责任公司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0.51</w:t>
                    </w:r>
                  </w:p>
                </w:tc>
              </w:tr>
            </w:sdtContent>
          </w:sdt>
          <w:sdt>
            <w:sdtPr>
              <w:rPr>
                <w:sz w:val="18"/>
                <w:szCs w:val="18"/>
              </w:rPr>
              <w:alias w:val="出售商品提供劳务情况明细"/>
              <w:tag w:val="_GBC_d6e24b6ca62645f180ecf5d4621afdc6"/>
              <w:id w:val="2515609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柳州市环源利环境资源技术开发有限公司</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895.53</w:t>
                    </w:r>
                  </w:p>
                </w:tc>
              </w:tr>
            </w:sdtContent>
          </w:sdt>
          <w:sdt>
            <w:sdtPr>
              <w:rPr>
                <w:sz w:val="18"/>
                <w:szCs w:val="18"/>
              </w:rPr>
              <w:alias w:val="出售商品提供劳务情况明细"/>
              <w:tag w:val="_GBC_d6e24b6ca62645f180ecf5d4621afdc6"/>
              <w:id w:val="2515609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716"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sz w:val="18"/>
                        <w:szCs w:val="18"/>
                      </w:rPr>
                    </w:pPr>
                    <w:r>
                      <w:rPr>
                        <w:sz w:val="18"/>
                        <w:szCs w:val="18"/>
                      </w:rPr>
                      <w:t>合计</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76"/>
                      <w:rPr>
                        <w:sz w:val="18"/>
                        <w:szCs w:val="18"/>
                      </w:rPr>
                    </w:pPr>
                    <w:r>
                      <w:rPr>
                        <w:sz w:val="18"/>
                        <w:szCs w:val="18"/>
                      </w:rPr>
                      <w:t>　</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1,028,039.67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sz w:val="18"/>
                        <w:szCs w:val="18"/>
                      </w:rPr>
                    </w:pPr>
                    <w:r>
                      <w:rPr>
                        <w:sz w:val="18"/>
                        <w:szCs w:val="18"/>
                      </w:rPr>
                      <w:t>966,373.34</w:t>
                    </w:r>
                  </w:p>
                </w:tc>
              </w:tr>
            </w:sdtContent>
          </w:sdt>
        </w:tbl>
        <w:p>
          <w:pPr>
            <w:pStyle w:val="76"/>
          </w:pPr>
        </w:p>
        <w:p>
          <w:pPr>
            <w:pStyle w:val="76"/>
            <w:rPr>
              <w:rFonts w:cs="Cambria"/>
              <w:szCs w:val="21"/>
            </w:rPr>
          </w:pPr>
          <w:r>
            <w:rPr>
              <w:rFonts w:hint="eastAsia" w:cs="Cambr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5156095"/>
            <w:lock w:val="sdtContentLocked"/>
            <w:placeholder>
              <w:docPart w:val="GBC22222222222222222222222222222"/>
            </w:placeholder>
          </w:sdtPr>
          <w:sdtEndPr>
            <w:rPr>
              <w:rFonts w:cs="Cambria"/>
              <w:szCs w:val="21"/>
            </w:rPr>
          </w:sdtEndPr>
          <w:sdtContent>
            <w:p>
              <w:pPr>
                <w:pStyle w:val="76"/>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b40d5cc82ee746028d6efa52b270cc25"/>
            <w:id w:val="25156096"/>
            <w:lock w:val="sdtLocked"/>
            <w:placeholder>
              <w:docPart w:val="GBC22222222222222222222222222222"/>
            </w:placeholder>
          </w:sdtPr>
          <w:sdtEndPr>
            <w:rPr>
              <w:rFonts w:cs="Cambria"/>
              <w:szCs w:val="21"/>
            </w:rPr>
          </w:sdtEndPr>
          <w:sdtContent>
            <w:p>
              <w:pPr>
                <w:pStyle w:val="76"/>
                <w:rPr>
                  <w:rFonts w:cs="Cambria"/>
                  <w:szCs w:val="21"/>
                </w:rPr>
              </w:pPr>
              <w:r>
                <w:rPr>
                  <w:rFonts w:hint="eastAsia" w:cs="Cambria"/>
                  <w:szCs w:val="21"/>
                </w:rPr>
                <w:t>关联交易定价政策</w:t>
              </w:r>
            </w:p>
            <w:p>
              <w:pPr>
                <w:pStyle w:val="76"/>
                <w:rPr>
                  <w:rFonts w:cs="Cambria"/>
                  <w:szCs w:val="21"/>
                </w:rPr>
              </w:pPr>
              <w:r>
                <w:rPr>
                  <w:rFonts w:hint="eastAsia" w:cs="Cambria"/>
                  <w:szCs w:val="21"/>
                </w:rPr>
                <w:t>公司与上述关联方有关购买、销售产品和接受、提供劳务、房屋租赁等关联交易的定价原则是：</w:t>
              </w:r>
            </w:p>
            <w:p>
              <w:pPr>
                <w:pStyle w:val="76"/>
                <w:rPr>
                  <w:rFonts w:cs="Cambria"/>
                  <w:szCs w:val="21"/>
                </w:rPr>
              </w:pPr>
              <w:r>
                <w:rPr>
                  <w:rFonts w:cs="Cambria"/>
                  <w:szCs w:val="21"/>
                </w:rPr>
                <w:t>1．参照国内同行业或本地区同类商品的交易价格，经双方协商后确定；</w:t>
              </w:r>
            </w:p>
            <w:p>
              <w:pPr>
                <w:pStyle w:val="76"/>
                <w:rPr>
                  <w:rFonts w:cs="Cambria"/>
                  <w:szCs w:val="21"/>
                </w:rPr>
              </w:pPr>
              <w:r>
                <w:rPr>
                  <w:rFonts w:cs="Cambria"/>
                  <w:szCs w:val="21"/>
                </w:rPr>
                <w:t>2．如无上述价格时，按提供商品一方的实际成本加上合理利润确定交易价格；柳钢股份和品成公司钢坯交易实际采用成本加成价格，根据双方2013年6月3日签订的《原材料购销协议》，成本加成率原则上不高于8%，通常按上年第四季度平均成本确定下年度交易价格，若无较大波动，通常价格一年不变。市场波动较大时，由双方协商，适时对原材料及货物价格进行调整。</w:t>
              </w:r>
            </w:p>
            <w:p>
              <w:pPr>
                <w:pStyle w:val="76"/>
                <w:rPr>
                  <w:rFonts w:cs="Cambria"/>
                  <w:szCs w:val="21"/>
                </w:rPr>
              </w:pPr>
              <w:r>
                <w:rPr>
                  <w:rFonts w:cs="Cambria"/>
                  <w:szCs w:val="21"/>
                </w:rPr>
                <w:t>3．当交易的商品在没有确切的市场价格，也不适合采用成本加成定价时，经双方协商确定交易价格，协议价格不高于或不低于向其他第三方提供同类产品的价格。</w:t>
              </w:r>
            </w:p>
          </w:sdtContent>
        </w:sdt>
        <w:p>
          <w:pPr>
            <w:pStyle w:val="76"/>
            <w:rPr>
              <w:rFonts w:cs="Cambria"/>
              <w:szCs w:val="21"/>
            </w:rPr>
          </w:pPr>
        </w:p>
      </w:sdtContent>
    </w:sdt>
    <w:sdt>
      <w:sdtPr>
        <w:rPr>
          <w:rFonts w:hint="eastAsia" w:ascii="宋体" w:hAnsi="宋体" w:cs="宋体"/>
          <w:b w:val="0"/>
          <w:bCs w:val="0"/>
          <w:kern w:val="0"/>
          <w:szCs w:val="24"/>
        </w:rPr>
        <w:alias w:val="模块:关联受托管理/承包及委托管理/出包情况"/>
        <w:tag w:val="_GBC_41e9e66a2ab04304a0db7b9e032817c5"/>
        <w:id w:val="25156102"/>
        <w:lock w:val="sdtLocked"/>
        <w:placeholder>
          <w:docPart w:val="GBC22222222222222222222222222222"/>
        </w:placeholder>
      </w:sdtPr>
      <w:sdtEndPr>
        <w:rPr>
          <w:rFonts w:hint="default" w:ascii="宋体" w:hAnsi="宋体" w:cs="Cambria"/>
          <w:b w:val="0"/>
          <w:bCs w:val="0"/>
          <w:kern w:val="0"/>
          <w:szCs w:val="21"/>
        </w:rPr>
      </w:sdtEndPr>
      <w:sdtContent>
        <w:p>
          <w:pPr>
            <w:pStyle w:val="80"/>
            <w:numPr>
              <w:ilvl w:val="0"/>
              <w:numId w:val="83"/>
            </w:numPr>
            <w:tabs>
              <w:tab w:val="left" w:pos="616"/>
            </w:tabs>
          </w:pPr>
          <w:r>
            <w:rPr>
              <w:rFonts w:hint="eastAsia"/>
            </w:rPr>
            <w:t>关联受托管理/承包及委托管理/出包情况</w:t>
          </w:r>
        </w:p>
        <w:p>
          <w:pPr>
            <w:pStyle w:val="76"/>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25156098"/>
            <w:lock w:val="sdtContentLocked"/>
            <w:placeholder>
              <w:docPart w:val="GBC22222222222222222222222222222"/>
            </w:placeholder>
          </w:sdtPr>
          <w:sdtEndPr>
            <w:rPr>
              <w:rFonts w:cs="Cambria"/>
              <w:szCs w:val="21"/>
            </w:rPr>
          </w:sdtEndPr>
          <w:sdtContent>
            <w:p>
              <w:pPr>
                <w:pStyle w:val="76"/>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pPr>
            <w:pStyle w:val="76"/>
            <w:rPr>
              <w:rFonts w:cs="Cambria"/>
              <w:szCs w:val="21"/>
            </w:rPr>
          </w:pPr>
          <w:r>
            <w:rPr>
              <w:rFonts w:hint="eastAsia" w:cs="Cambria"/>
              <w:szCs w:val="21"/>
            </w:rPr>
            <w:t>关联托管/承包情况说明</w:t>
          </w:r>
        </w:p>
        <w:sdt>
          <w:sdtPr>
            <w:rPr>
              <w:rFonts w:cs="Cambria"/>
              <w:szCs w:val="21"/>
            </w:rPr>
            <w:alias w:val="是否适用：关联托管或承包情况说明[双击切换]"/>
            <w:tag w:val="_GBC_42ec6e3170b04610899c528ce7bda003"/>
            <w:id w:val="25156099"/>
            <w:lock w:val="sdtContentLocked"/>
            <w:placeholder>
              <w:docPart w:val="GBC22222222222222222222222222222"/>
            </w:placeholder>
          </w:sdtPr>
          <w:sdtEndPr>
            <w:rPr>
              <w:rFonts w:cs="Cambria"/>
              <w:szCs w:val="21"/>
            </w:rPr>
          </w:sdtEndPr>
          <w:sdtContent>
            <w:p>
              <w:pPr>
                <w:pStyle w:val="76"/>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pPr>
            <w:pStyle w:val="76"/>
            <w:rPr>
              <w:rFonts w:cs="Cambria"/>
              <w:szCs w:val="21"/>
            </w:rPr>
          </w:pPr>
        </w:p>
        <w:p>
          <w:pPr>
            <w:pStyle w:val="76"/>
            <w:rPr>
              <w:rFonts w:cs="Cambria"/>
              <w:bCs/>
              <w:szCs w:val="21"/>
            </w:rPr>
          </w:pPr>
          <w:r>
            <w:rPr>
              <w:rFonts w:hint="eastAsia"/>
              <w:szCs w:val="21"/>
            </w:rPr>
            <w:t>本公司</w:t>
          </w:r>
          <w:r>
            <w:rPr>
              <w:rFonts w:hint="eastAsia" w:cs="Cambria"/>
              <w:bCs/>
              <w:szCs w:val="21"/>
            </w:rPr>
            <w:t>委托管理/出包情况表：</w:t>
          </w:r>
        </w:p>
        <w:sdt>
          <w:sdtPr>
            <w:rPr>
              <w:rFonts w:cs="Cambria"/>
              <w:bCs/>
              <w:szCs w:val="21"/>
            </w:rPr>
            <w:alias w:val="是否适用：本公司委托管理或出包情况表[双击切换]"/>
            <w:tag w:val="_GBC_37bf111a27194665b76f71bb5418d53c"/>
            <w:id w:val="25156100"/>
            <w:lock w:val="sdtContentLocked"/>
            <w:placeholder>
              <w:docPart w:val="GBC22222222222222222222222222222"/>
            </w:placeholder>
          </w:sdtPr>
          <w:sdtEndPr>
            <w:rPr>
              <w:rFonts w:cs="Cambria"/>
              <w:bCs/>
              <w:szCs w:val="21"/>
            </w:rPr>
          </w:sdtEndPr>
          <w:sdtContent>
            <w:p>
              <w:pPr>
                <w:pStyle w:val="76"/>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pPr>
            <w:pStyle w:val="76"/>
            <w:rPr>
              <w:rFonts w:cs="Cambria"/>
              <w:bCs/>
              <w:szCs w:val="21"/>
            </w:rPr>
          </w:pPr>
          <w:r>
            <w:rPr>
              <w:rFonts w:hint="eastAsia" w:cs="Cambria"/>
              <w:bCs/>
              <w:szCs w:val="21"/>
            </w:rPr>
            <w:t>关联管理/出包情况说明</w:t>
          </w:r>
        </w:p>
        <w:sdt>
          <w:sdtPr>
            <w:rPr>
              <w:rFonts w:cs="Cambria"/>
              <w:bCs/>
              <w:szCs w:val="21"/>
            </w:rPr>
            <w:alias w:val="是否适用：关联管理或出包情况说明[双击切换]"/>
            <w:tag w:val="_GBC_0b0339c118c542eb8a6e3a68fab8e375"/>
            <w:id w:val="25156101"/>
            <w:lock w:val="sdtContentLocked"/>
            <w:placeholder>
              <w:docPart w:val="GBC22222222222222222222222222222"/>
            </w:placeholder>
          </w:sdtPr>
          <w:sdtEndPr>
            <w:rPr>
              <w:rFonts w:cs="Cambria"/>
              <w:bCs/>
              <w:szCs w:val="21"/>
            </w:rPr>
          </w:sdtEndPr>
          <w:sdtContent>
            <w:p>
              <w:pPr>
                <w:pStyle w:val="76"/>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pPr>
            <w:pStyle w:val="76"/>
            <w:rPr>
              <w:rFonts w:cs="Cambria"/>
              <w:szCs w:val="21"/>
            </w:rPr>
          </w:pPr>
        </w:p>
      </w:sdtContent>
    </w:sdt>
    <w:sdt>
      <w:sdtPr>
        <w:rPr>
          <w:rFonts w:hint="eastAsia" w:ascii="宋体" w:hAnsi="宋体" w:cs="宋体"/>
          <w:b w:val="0"/>
          <w:bCs w:val="0"/>
          <w:kern w:val="0"/>
          <w:szCs w:val="24"/>
        </w:rPr>
        <w:alias w:val="模块:关联租赁情况"/>
        <w:tag w:val="_GBC_17f3281299e640aa88ca71463490c054"/>
        <w:id w:val="25156114"/>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83"/>
            </w:numPr>
            <w:tabs>
              <w:tab w:val="left" w:pos="616"/>
            </w:tabs>
          </w:pPr>
          <w:r>
            <w:rPr>
              <w:rFonts w:hint="eastAsia"/>
            </w:rPr>
            <w:t>关联租赁情况</w:t>
          </w:r>
        </w:p>
        <w:p>
          <w:pPr>
            <w:pStyle w:val="76"/>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25156103"/>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25156104"/>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jc w:val="right"/>
            <w:rPr>
              <w:szCs w:val="21"/>
            </w:rPr>
          </w:pPr>
          <w:r>
            <w:rPr>
              <w:rFonts w:hint="eastAsia"/>
              <w:szCs w:val="21"/>
            </w:rPr>
            <w:t>单位：</w:t>
          </w:r>
          <w:sdt>
            <w:sdtPr>
              <w:rPr>
                <w:rFonts w:hint="eastAsia"/>
                <w:szCs w:val="21"/>
              </w:rPr>
              <w:alias w:val="单位：公司承租情况表"/>
              <w:tag w:val="_GBC_c4f9d2e7743f429a85c30d009abea834"/>
              <w:id w:val="251561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万元</w:t>
              </w:r>
            </w:sdtContent>
          </w:sdt>
          <w:r>
            <w:rPr>
              <w:rFonts w:hint="eastAsia"/>
              <w:szCs w:val="21"/>
            </w:rPr>
            <w:t xml:space="preserve">  币种：</w:t>
          </w:r>
          <w:sdt>
            <w:sdtPr>
              <w:rPr>
                <w:rFonts w:hint="eastAsia"/>
                <w:szCs w:val="21"/>
              </w:rPr>
              <w:alias w:val="币种：公司承租情况表"/>
              <w:tag w:val="_GBC_bad2c4d4779f4dc2bace6d7ca19d4585"/>
              <w:id w:val="251561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98"/>
            <w:gridCol w:w="2977"/>
            <w:gridCol w:w="184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10" w:hRule="atLeast"/>
            </w:trPr>
            <w:sdt>
              <w:sdtPr>
                <w:rPr>
                  <w:sz w:val="18"/>
                  <w:szCs w:val="18"/>
                </w:rPr>
                <w:tag w:val="_PLD_0a09d4d001e74fe3a6d865aeb5fab910"/>
                <w:id w:val="25156107"/>
                <w:lock w:val="sdtLocked"/>
              </w:sdtPr>
              <w:sdtEndPr>
                <w:rPr>
                  <w:sz w:val="18"/>
                  <w:szCs w:val="18"/>
                </w:rPr>
              </w:sdtEndPr>
              <w:sdtContent>
                <w:tc>
                  <w:tcPr>
                    <w:tcW w:w="2298" w:type="dxa"/>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出租方名称</w:t>
                    </w:r>
                  </w:p>
                </w:tc>
              </w:sdtContent>
            </w:sdt>
            <w:sdt>
              <w:sdtPr>
                <w:rPr>
                  <w:sz w:val="18"/>
                  <w:szCs w:val="18"/>
                </w:rPr>
                <w:tag w:val="_PLD_8f2b6c0b27fc41c19bc3ddb5e8c23d38"/>
                <w:id w:val="25156108"/>
                <w:lock w:val="sdtLocked"/>
              </w:sdtPr>
              <w:sdtEndPr>
                <w:rPr>
                  <w:sz w:val="18"/>
                  <w:szCs w:val="18"/>
                </w:rPr>
              </w:sdtEndPr>
              <w:sdtContent>
                <w:tc>
                  <w:tcPr>
                    <w:tcW w:w="2977" w:type="dxa"/>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租赁资产种类</w:t>
                    </w:r>
                  </w:p>
                </w:tc>
              </w:sdtContent>
            </w:sdt>
            <w:sdt>
              <w:sdtPr>
                <w:rPr>
                  <w:sz w:val="18"/>
                  <w:szCs w:val="18"/>
                </w:rPr>
                <w:tag w:val="_PLD_1a07095594554b409b72dea609345e26"/>
                <w:id w:val="25156109"/>
                <w:lock w:val="sdtLocked"/>
              </w:sdtPr>
              <w:sdtEndPr>
                <w:rPr>
                  <w:sz w:val="18"/>
                  <w:szCs w:val="18"/>
                </w:rPr>
              </w:sdtEndPr>
              <w:sdtContent>
                <w:tc>
                  <w:tcPr>
                    <w:tcW w:w="1843" w:type="dxa"/>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本期确认的租赁费</w:t>
                    </w:r>
                  </w:p>
                </w:tc>
              </w:sdtContent>
            </w:sdt>
            <w:sdt>
              <w:sdtPr>
                <w:rPr>
                  <w:sz w:val="18"/>
                  <w:szCs w:val="18"/>
                </w:rPr>
                <w:tag w:val="_PLD_719d99d0e51d4f5eb9d74441d044bfe5"/>
                <w:id w:val="25156110"/>
                <w:lock w:val="sdtLocked"/>
              </w:sdtPr>
              <w:sdtEndPr>
                <w:rPr>
                  <w:sz w:val="18"/>
                  <w:szCs w:val="18"/>
                </w:rPr>
              </w:sdtEndPr>
              <w:sdtContent>
                <w:tc>
                  <w:tcPr>
                    <w:tcW w:w="1775" w:type="dxa"/>
                    <w:tcBorders>
                      <w:top w:val="single" w:color="auto" w:sz="4" w:space="0"/>
                      <w:left w:val="single" w:color="auto" w:sz="4" w:space="0"/>
                      <w:right w:val="single" w:color="auto" w:sz="4" w:space="0"/>
                    </w:tcBorders>
                    <w:shd w:val="clear" w:color="auto" w:fill="auto"/>
                    <w:vAlign w:val="center"/>
                  </w:tcPr>
                  <w:p>
                    <w:pPr>
                      <w:pStyle w:val="76"/>
                      <w:jc w:val="center"/>
                      <w:rPr>
                        <w:sz w:val="18"/>
                        <w:szCs w:val="18"/>
                      </w:rPr>
                    </w:pPr>
                    <w:r>
                      <w:rPr>
                        <w:rFonts w:hint="eastAsia"/>
                        <w:sz w:val="18"/>
                        <w:szCs w:val="18"/>
                      </w:rPr>
                      <w:t>上期确认的租赁费</w:t>
                    </w:r>
                  </w:p>
                </w:tc>
              </w:sdtContent>
            </w:sdt>
          </w:tr>
          <w:sdt>
            <w:sdtPr>
              <w:rPr>
                <w:sz w:val="18"/>
                <w:szCs w:val="18"/>
              </w:rPr>
              <w:alias w:val="公司承租情况明细"/>
              <w:tag w:val="_GBC_2cb90c924bac4d8690c03cd1fa4f690b"/>
              <w:id w:val="2515611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sz w:val="18"/>
                        <w:szCs w:val="18"/>
                      </w:rPr>
                      <w:t>广西柳州钢铁集团有限公司</w:t>
                    </w:r>
                  </w:p>
                </w:tc>
                <w:tc>
                  <w:tcPr>
                    <w:tcW w:w="2977" w:type="dxa"/>
                    <w:tcBorders>
                      <w:top w:val="single" w:color="auto" w:sz="4" w:space="0"/>
                      <w:left w:val="single" w:color="auto" w:sz="4" w:space="0"/>
                      <w:bottom w:val="single" w:color="auto" w:sz="4" w:space="0"/>
                      <w:right w:val="single" w:color="auto" w:sz="4" w:space="0"/>
                    </w:tcBorders>
                  </w:tcPr>
                  <w:p>
                    <w:pPr>
                      <w:pStyle w:val="76"/>
                      <w:rPr>
                        <w:sz w:val="18"/>
                        <w:szCs w:val="18"/>
                      </w:rPr>
                    </w:pPr>
                    <w:r>
                      <w:rPr>
                        <w:sz w:val="18"/>
                        <w:szCs w:val="18"/>
                      </w:rPr>
                      <w:t>柳国用（2002）字第101847、101848、101849、101850、101851、101862号六宗面积合计93.85万平方米土地</w:t>
                    </w:r>
                    <w:r>
                      <w:rPr>
                        <w:rFonts w:hint="eastAsia"/>
                        <w:sz w:val="18"/>
                        <w:szCs w:val="18"/>
                      </w:rPr>
                      <w:t>；柳国用（</w:t>
                    </w:r>
                    <w:r>
                      <w:rPr>
                        <w:sz w:val="18"/>
                        <w:szCs w:val="18"/>
                      </w:rPr>
                      <w:t>2004）字第104208号地块其中的面积为65.24万平方米土地</w:t>
                    </w:r>
                  </w:p>
                </w:tc>
                <w:tc>
                  <w:tcPr>
                    <w:tcW w:w="1843"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sz w:val="18"/>
                        <w:szCs w:val="18"/>
                      </w:rPr>
                      <w:t>1,511.4</w:t>
                    </w:r>
                  </w:p>
                </w:tc>
                <w:tc>
                  <w:tcPr>
                    <w:tcW w:w="1775" w:type="dxa"/>
                    <w:tcBorders>
                      <w:top w:val="single" w:color="auto" w:sz="4" w:space="0"/>
                      <w:left w:val="single" w:color="auto" w:sz="4" w:space="0"/>
                      <w:bottom w:val="single" w:color="auto" w:sz="4" w:space="0"/>
                      <w:right w:val="single" w:color="auto" w:sz="4" w:space="0"/>
                    </w:tcBorders>
                    <w:vAlign w:val="center"/>
                  </w:tcPr>
                  <w:p>
                    <w:pPr>
                      <w:pStyle w:val="76"/>
                      <w:jc w:val="right"/>
                      <w:rPr>
                        <w:sz w:val="18"/>
                        <w:szCs w:val="18"/>
                      </w:rPr>
                    </w:pPr>
                    <w:r>
                      <w:rPr>
                        <w:rFonts w:hint="eastAsia"/>
                        <w:sz w:val="18"/>
                        <w:szCs w:val="18"/>
                      </w:rPr>
                      <w:t>500</w:t>
                    </w:r>
                  </w:p>
                </w:tc>
              </w:tr>
            </w:sdtContent>
          </w:sdt>
        </w:tbl>
        <w:p>
          <w:pPr>
            <w:pStyle w:val="76"/>
          </w:pPr>
        </w:p>
        <w:p>
          <w:pPr>
            <w:pStyle w:val="76"/>
            <w:rPr>
              <w:szCs w:val="21"/>
            </w:rPr>
          </w:pPr>
          <w:r>
            <w:rPr>
              <w:rFonts w:hint="eastAsia"/>
              <w:szCs w:val="21"/>
            </w:rPr>
            <w:t>关联租赁情况说明</w:t>
          </w:r>
        </w:p>
        <w:sdt>
          <w:sdtPr>
            <w:rPr>
              <w:szCs w:val="21"/>
            </w:rPr>
            <w:alias w:val="是否适用：关联租赁情况说明[双击切换]"/>
            <w:tag w:val="_GBC_a8d25c1a27d24bbeb9dd0063be85a310"/>
            <w:id w:val="25156112"/>
            <w:lock w:val="sdtContentLocked"/>
            <w:placeholder>
              <w:docPart w:val="GBC22222222222222222222222222222"/>
            </w:placeholder>
          </w:sdtPr>
          <w:sdtEndPr>
            <w:rPr>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关联租赁说明"/>
            <w:tag w:val="_GBC_84584ca23f8f450e9e44b9587b57665d"/>
            <w:id w:val="25156113"/>
            <w:lock w:val="sdtLocked"/>
          </w:sdtPr>
          <w:sdtEndPr>
            <w:rPr>
              <w:szCs w:val="21"/>
            </w:rPr>
          </w:sdtEndPr>
          <w:sdtContent>
            <w:p>
              <w:pPr>
                <w:pStyle w:val="76"/>
                <w:rPr>
                  <w:szCs w:val="21"/>
                </w:rPr>
              </w:pPr>
              <w:r>
                <w:rPr>
                  <w:rFonts w:hint="eastAsia"/>
                  <w:szCs w:val="21"/>
                </w:rPr>
                <w:t>2018年1月1日，公司重新与集团公司签订《土地租赁合同》，按照当地市场价格，公司承租集团公司 柳国（2002）字第101847、1011848、101849、101850、101851、101862号合计93.85万平方米土地以及柳国用（2004）字第104208号65.24万平方米土地，租赁期限自2018年1月1日起至2025年12月31日止，租赁费每年合计3022.8万元，租赁期内该费用5年内不予调整。</w:t>
              </w:r>
            </w:p>
          </w:sdtContent>
        </w:sdt>
        <w:p>
          <w:pPr>
            <w:pStyle w:val="76"/>
          </w:pPr>
        </w:p>
      </w:sdtContent>
    </w:sdt>
    <w:sdt>
      <w:sdtPr>
        <w:rPr>
          <w:rFonts w:hint="eastAsia" w:ascii="宋体" w:hAnsi="宋体" w:cs="Arial"/>
          <w:b w:val="0"/>
          <w:bCs w:val="0"/>
          <w:kern w:val="0"/>
          <w:szCs w:val="21"/>
        </w:rPr>
        <w:alias w:val="模块:关联担保情况"/>
        <w:tag w:val="_GBC_a87b2e666bc14a67817d2d3189396350"/>
        <w:id w:val="25156151"/>
        <w:lock w:val="sdtLocked"/>
        <w:placeholder>
          <w:docPart w:val="GBC22222222222222222222222222222"/>
        </w:placeholder>
      </w:sdtPr>
      <w:sdtEndPr>
        <w:rPr>
          <w:rFonts w:hint="default" w:ascii="Cambria" w:hAnsi="Cambria" w:cs="Cambria" w:eastAsiaTheme="minorEastAsia"/>
          <w:b w:val="0"/>
          <w:bCs w:val="0"/>
          <w:kern w:val="0"/>
          <w:sz w:val="20"/>
          <w:szCs w:val="20"/>
        </w:rPr>
      </w:sdtEndPr>
      <w:sdtContent>
        <w:p>
          <w:pPr>
            <w:pStyle w:val="80"/>
            <w:numPr>
              <w:ilvl w:val="0"/>
              <w:numId w:val="83"/>
            </w:numPr>
            <w:tabs>
              <w:tab w:val="left" w:pos="616"/>
            </w:tabs>
            <w:rPr>
              <w:rFonts w:ascii="宋体" w:hAnsi="宋体" w:cs="Arial"/>
              <w:szCs w:val="21"/>
            </w:rPr>
          </w:pPr>
          <w:r>
            <w:rPr>
              <w:rFonts w:hint="eastAsia" w:ascii="宋体" w:hAnsi="宋体" w:cs="Arial"/>
              <w:szCs w:val="21"/>
            </w:rPr>
            <w:t>关联</w:t>
          </w:r>
          <w:r>
            <w:rPr>
              <w:rFonts w:hint="eastAsia"/>
            </w:rPr>
            <w:t>担保</w:t>
          </w:r>
          <w:r>
            <w:rPr>
              <w:rFonts w:hint="eastAsia" w:ascii="宋体" w:hAnsi="宋体" w:cs="Arial"/>
              <w:szCs w:val="21"/>
            </w:rPr>
            <w:t>情况</w:t>
          </w:r>
        </w:p>
        <w:p>
          <w:pPr>
            <w:pStyle w:val="76"/>
          </w:pPr>
          <w:r>
            <w:rPr>
              <w:rFonts w:hint="eastAsia"/>
            </w:rPr>
            <w:t>本公司作为担保方</w:t>
          </w:r>
        </w:p>
        <w:sdt>
          <w:sdtPr>
            <w:alias w:val="是否适用：本公司作为担保方的担保情况表[双击切换]"/>
            <w:tag w:val="_GBC_f0150417f8ec4c5281b86683570391cb"/>
            <w:id w:val="2515611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ascii="Cambria" w:hAnsi="Cambria" w:cs="Cambria"/>
            </w:rPr>
          </w:pPr>
          <w:r>
            <w:rPr>
              <w:rFonts w:hint="eastAsia" w:ascii="Cambria" w:hAnsi="Cambria" w:cs="Cambria"/>
            </w:rPr>
            <w:t>本公司作为被担保方</w:t>
          </w:r>
        </w:p>
        <w:sdt>
          <w:sdtPr>
            <w:rPr>
              <w:rFonts w:ascii="Cambria" w:hAnsi="Cambria" w:cs="Cambria"/>
            </w:rPr>
            <w:alias w:val="是否适用：本公司作为被担保方的担保情况表[双击切换]"/>
            <w:tag w:val="_GBC_3686094d29c941dd91bd168e3ef88833"/>
            <w:id w:val="25156116"/>
            <w:lock w:val="sdtContentLocked"/>
            <w:placeholder>
              <w:docPart w:val="GBC22222222222222222222222222222"/>
            </w:placeholder>
          </w:sdtPr>
          <w:sdtEndPr>
            <w:rPr>
              <w:rFonts w:ascii="Cambria" w:hAnsi="Cambria" w:cs="Cambria"/>
            </w:rPr>
          </w:sdtEndPr>
          <w:sdtContent>
            <w:p>
              <w:pPr>
                <w:pStyle w:val="76"/>
                <w:rPr>
                  <w:rFonts w:ascii="Cambria" w:hAnsi="Cambria"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76"/>
            <w:jc w:val="right"/>
            <w:rPr>
              <w:rFonts w:cs="Cambria"/>
            </w:rPr>
          </w:pPr>
          <w:r>
            <w:rPr>
              <w:rFonts w:hint="eastAsia" w:cs="Cambria"/>
            </w:rPr>
            <w:t>单位:</w:t>
          </w:r>
          <w:sdt>
            <w:sdtPr>
              <w:rPr>
                <w:rFonts w:hint="eastAsia" w:cs="Cambria"/>
              </w:rPr>
              <w:alias w:val="单位：财务附注：本公司作为被担保方"/>
              <w:tag w:val="_GBC_af3d3d55d9c648f8b2e94dcdd804c683"/>
              <w:id w:val="251561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cs="Cambria"/>
              </w:rPr>
            </w:sdtEndPr>
            <w:sdtContent>
              <w:r>
                <w:rPr>
                  <w:rFonts w:hint="eastAsia" w:cs="Cambria"/>
                </w:rPr>
                <w:t>元</w:t>
              </w:r>
            </w:sdtContent>
          </w:sdt>
          <w:r>
            <w:rPr>
              <w:rFonts w:hint="eastAsia" w:cs="Cambria"/>
            </w:rPr>
            <w:t xml:space="preserve">  币种:</w:t>
          </w:r>
          <w:sdt>
            <w:sdtPr>
              <w:rPr>
                <w:rFonts w:hint="eastAsia" w:cs="Cambria"/>
              </w:rPr>
              <w:alias w:val="币种：财务附注：本公司作为被担保方"/>
              <w:tag w:val="_GBC_684efbccec674b3abab20e6aa5c20b55"/>
              <w:id w:val="251561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s="Cambria"/>
              </w:rPr>
            </w:sdtEndPr>
            <w:sdtContent>
              <w:r>
                <w:rPr>
                  <w:rFonts w:hint="eastAsia" w:cs="Cambria"/>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40"/>
            <w:gridCol w:w="1560"/>
            <w:gridCol w:w="1700"/>
            <w:gridCol w:w="156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ac54f32073154fadb7bb88f234c3975e"/>
                <w:id w:val="25156119"/>
                <w:lock w:val="sdtLocked"/>
              </w:sdtPr>
              <w:sdtEndPr>
                <w:rPr>
                  <w:sz w:val="18"/>
                  <w:szCs w:val="18"/>
                </w:rPr>
              </w:sdtEndPr>
              <w:sdtContent>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担保方</w:t>
                    </w:r>
                  </w:p>
                </w:tc>
              </w:sdtContent>
            </w:sdt>
            <w:sdt>
              <w:sdtPr>
                <w:rPr>
                  <w:sz w:val="18"/>
                  <w:szCs w:val="18"/>
                </w:rPr>
                <w:tag w:val="_PLD_7f8c0504748f429fb56091b7c979ae8f"/>
                <w:id w:val="25156120"/>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担保金额</w:t>
                    </w:r>
                  </w:p>
                </w:tc>
              </w:sdtContent>
            </w:sdt>
            <w:sdt>
              <w:sdtPr>
                <w:rPr>
                  <w:sz w:val="18"/>
                  <w:szCs w:val="18"/>
                </w:rPr>
                <w:tag w:val="_PLD_420586bc450946f7ade316af068ebd3c"/>
                <w:id w:val="25156121"/>
                <w:lock w:val="sdtLocked"/>
              </w:sdtPr>
              <w:sdtEndPr>
                <w:rPr>
                  <w:sz w:val="18"/>
                  <w:szCs w:val="18"/>
                </w:rPr>
              </w:sdtEndPr>
              <w:sdtContent>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担保起始日</w:t>
                    </w:r>
                  </w:p>
                </w:tc>
              </w:sdtContent>
            </w:sdt>
            <w:sdt>
              <w:sdtPr>
                <w:rPr>
                  <w:sz w:val="18"/>
                  <w:szCs w:val="18"/>
                </w:rPr>
                <w:tag w:val="_PLD_06d4f9d2aefd4b9abe4a16528e7585c3"/>
                <w:id w:val="25156122"/>
                <w:lock w:val="sdtLocked"/>
              </w:sdtPr>
              <w:sdtEndPr>
                <w:rPr>
                  <w:sz w:val="18"/>
                  <w:szCs w:val="18"/>
                </w:rPr>
              </w:sdtEndPr>
              <w:sdtContent>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担保到期日</w:t>
                    </w:r>
                  </w:p>
                </w:tc>
              </w:sdtContent>
            </w:sdt>
            <w:sdt>
              <w:sdtPr>
                <w:rPr>
                  <w:sz w:val="18"/>
                  <w:szCs w:val="18"/>
                </w:rPr>
                <w:tag w:val="_PLD_ed59b0fcb59a47dc868f0dc283143858"/>
                <w:id w:val="25156123"/>
                <w:lock w:val="sdtLocked"/>
              </w:sdtPr>
              <w:sdtEndPr>
                <w:rPr>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sz w:val="18"/>
                        <w:szCs w:val="18"/>
                      </w:rPr>
                    </w:pPr>
                    <w:r>
                      <w:rPr>
                        <w:rFonts w:hint="eastAsia" w:cs="Cambria"/>
                        <w:sz w:val="18"/>
                        <w:szCs w:val="18"/>
                      </w:rPr>
                      <w:t>担保是否已经履行完毕</w:t>
                    </w:r>
                  </w:p>
                </w:tc>
              </w:sdtContent>
            </w:sdt>
          </w:tr>
          <w:sdt>
            <w:sdtPr>
              <w:rPr>
                <w:rFonts w:cs="Cambria"/>
                <w:sz w:val="18"/>
                <w:szCs w:val="18"/>
              </w:rPr>
              <w:alias w:val="本公司作为被担保方的关联担保情况明细"/>
              <w:tag w:val="_GBC_849e7f7a42044b3eaf135f12bb01887f"/>
              <w:id w:val="25156125"/>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725,782,865.14</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2018-1-12</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2020-6-29</w:t>
                    </w:r>
                  </w:p>
                </w:tc>
                <w:sdt>
                  <w:sdtPr>
                    <w:rPr>
                      <w:rFonts w:cs="Cambria"/>
                      <w:sz w:val="18"/>
                      <w:szCs w:val="18"/>
                    </w:rPr>
                    <w:alias w:val="本公司作为被担保方的关联担保情况明细-担保是否已经履行完毕"/>
                    <w:tag w:val="_GBC_d7c54b58f693435fbb78b065d1e813da"/>
                    <w:id w:val="25156124"/>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27"/>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200,000,000.00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2018-6-15</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2019-6-15</w:t>
                    </w:r>
                  </w:p>
                </w:tc>
                <w:sdt>
                  <w:sdtPr>
                    <w:rPr>
                      <w:rFonts w:cs="Cambria"/>
                      <w:sz w:val="18"/>
                      <w:szCs w:val="18"/>
                    </w:rPr>
                    <w:alias w:val="本公司作为被担保方的关联担保情况明细-担保是否已经履行完毕"/>
                    <w:tag w:val="_GBC_d7c54b58f693435fbb78b065d1e813da"/>
                    <w:id w:val="25156126"/>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29"/>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163,905,867.63</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2017-8-17</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2018-11-21</w:t>
                    </w:r>
                  </w:p>
                </w:tc>
                <w:sdt>
                  <w:sdtPr>
                    <w:rPr>
                      <w:rFonts w:cs="Cambria"/>
                      <w:sz w:val="18"/>
                      <w:szCs w:val="18"/>
                    </w:rPr>
                    <w:alias w:val="本公司作为被担保方的关联担保情况明细-担保是否已经履行完毕"/>
                    <w:tag w:val="_GBC_d7c54b58f693435fbb78b065d1e813da"/>
                    <w:id w:val="25156128"/>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31"/>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209,166,884.18</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2018-1-18</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2018-11-23</w:t>
                    </w:r>
                  </w:p>
                </w:tc>
                <w:sdt>
                  <w:sdtPr>
                    <w:rPr>
                      <w:rFonts w:cs="Cambria"/>
                      <w:sz w:val="18"/>
                      <w:szCs w:val="18"/>
                    </w:rPr>
                    <w:alias w:val="本公司作为被担保方的关联担保情况明细-担保是否已经履行完毕"/>
                    <w:tag w:val="_GBC_d7c54b58f693435fbb78b065d1e813da"/>
                    <w:id w:val="25156130"/>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33"/>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119,000,000.00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2018-3-26</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2018-12-19</w:t>
                    </w:r>
                  </w:p>
                </w:tc>
                <w:sdt>
                  <w:sdtPr>
                    <w:rPr>
                      <w:rFonts w:cs="Cambria"/>
                      <w:sz w:val="18"/>
                      <w:szCs w:val="18"/>
                    </w:rPr>
                    <w:alias w:val="本公司作为被担保方的关联担保情况明细-担保是否已经履行完毕"/>
                    <w:tag w:val="_GBC_d7c54b58f693435fbb78b065d1e813da"/>
                    <w:id w:val="25156132"/>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35"/>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403,000,000.00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2017-8-15</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2018-12-25</w:t>
                    </w:r>
                  </w:p>
                </w:tc>
                <w:sdt>
                  <w:sdtPr>
                    <w:rPr>
                      <w:rFonts w:cs="Cambria"/>
                      <w:sz w:val="18"/>
                      <w:szCs w:val="18"/>
                    </w:rPr>
                    <w:alias w:val="本公司作为被担保方的关联担保情况明细-担保是否已经履行完毕"/>
                    <w:tag w:val="_GBC_d7c54b58f693435fbb78b065d1e813da"/>
                    <w:id w:val="25156134"/>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37"/>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291,130,400.00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2016-11-7</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2018-10-27</w:t>
                    </w:r>
                  </w:p>
                </w:tc>
                <w:sdt>
                  <w:sdtPr>
                    <w:rPr>
                      <w:rFonts w:cs="Cambria"/>
                      <w:sz w:val="18"/>
                      <w:szCs w:val="18"/>
                    </w:rPr>
                    <w:alias w:val="本公司作为被担保方的关联担保情况明细-担保是否已经履行完毕"/>
                    <w:tag w:val="_GBC_d7c54b58f693435fbb78b065d1e813da"/>
                    <w:id w:val="25156136"/>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39"/>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505,000,000.00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2018-1-23</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2019-3-13</w:t>
                    </w:r>
                  </w:p>
                </w:tc>
                <w:sdt>
                  <w:sdtPr>
                    <w:rPr>
                      <w:rFonts w:cs="Cambria"/>
                      <w:sz w:val="18"/>
                      <w:szCs w:val="18"/>
                    </w:rPr>
                    <w:alias w:val="本公司作为被担保方的关联担保情况明细-担保是否已经履行完毕"/>
                    <w:tag w:val="_GBC_d7c54b58f693435fbb78b065d1e813da"/>
                    <w:id w:val="25156138"/>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41"/>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360,000,000.00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2017-8-28</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2019-6-26</w:t>
                    </w:r>
                  </w:p>
                </w:tc>
                <w:sdt>
                  <w:sdtPr>
                    <w:rPr>
                      <w:rFonts w:cs="Cambria"/>
                      <w:sz w:val="18"/>
                      <w:szCs w:val="18"/>
                    </w:rPr>
                    <w:alias w:val="本公司作为被担保方的关联担保情况明细-担保是否已经履行完毕"/>
                    <w:tag w:val="_GBC_d7c54b58f693435fbb78b065d1e813da"/>
                    <w:id w:val="25156140"/>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43"/>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1,009,000,000.00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2018-3-2</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2019-6-25</w:t>
                    </w:r>
                  </w:p>
                </w:tc>
                <w:sdt>
                  <w:sdtPr>
                    <w:rPr>
                      <w:rFonts w:cs="Cambria"/>
                      <w:sz w:val="18"/>
                      <w:szCs w:val="18"/>
                    </w:rPr>
                    <w:alias w:val="本公司作为被担保方的关联担保情况明细-担保是否已经履行完毕"/>
                    <w:tag w:val="_GBC_d7c54b58f693435fbb78b065d1e813da"/>
                    <w:id w:val="25156142"/>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45"/>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1,116,500,000.00</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2017-9-8</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2019-5-30</w:t>
                    </w:r>
                  </w:p>
                </w:tc>
                <w:sdt>
                  <w:sdtPr>
                    <w:rPr>
                      <w:rFonts w:cs="Cambria"/>
                      <w:sz w:val="18"/>
                      <w:szCs w:val="18"/>
                    </w:rPr>
                    <w:alias w:val="本公司作为被担保方的关联担保情况明细-担保是否已经履行完毕"/>
                    <w:tag w:val="_GBC_d7c54b58f693435fbb78b065d1e813da"/>
                    <w:id w:val="25156144"/>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47"/>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cs="Cambria"/>
                        <w:sz w:val="18"/>
                        <w:szCs w:val="18"/>
                      </w:rPr>
                      <w:t>广西柳州钢铁集团有限公司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1,637,806,998.01</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2017-9-15</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sz w:val="18"/>
                        <w:szCs w:val="18"/>
                      </w:rPr>
                      <w:t>2018-10-26</w:t>
                    </w:r>
                  </w:p>
                </w:tc>
                <w:sdt>
                  <w:sdtPr>
                    <w:rPr>
                      <w:rFonts w:cs="Cambria"/>
                      <w:sz w:val="18"/>
                      <w:szCs w:val="18"/>
                    </w:rPr>
                    <w:alias w:val="本公司作为被担保方的关联担保情况明细-担保是否已经履行完毕"/>
                    <w:tag w:val="_GBC_d7c54b58f693435fbb78b065d1e813da"/>
                    <w:id w:val="25156146"/>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5156149"/>
              <w:lock w:val="sdtLocked"/>
            </w:sdtPr>
            <w:sdtEndPr>
              <w:rPr>
                <w:rFonts w:cs="Cambr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76"/>
                      <w:jc w:val="center"/>
                      <w:rPr>
                        <w:rFonts w:cs="Cambria"/>
                        <w:sz w:val="18"/>
                        <w:szCs w:val="18"/>
                      </w:rPr>
                    </w:pPr>
                    <w:r>
                      <w:rPr>
                        <w:rFonts w:hint="eastAsia" w:cs="Cambria"/>
                        <w:sz w:val="18"/>
                        <w:szCs w:val="18"/>
                      </w:rPr>
                      <w:t>合计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sz w:val="18"/>
                        <w:szCs w:val="18"/>
                      </w:rPr>
                    </w:pPr>
                    <w:r>
                      <w:rPr>
                        <w:sz w:val="18"/>
                        <w:szCs w:val="18"/>
                      </w:rPr>
                      <w:t>6,740,293,014.96</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sz w:val="18"/>
                        <w:szCs w:val="18"/>
                      </w:rPr>
                      <w:t> </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sz w:val="18"/>
                        <w:szCs w:val="18"/>
                      </w:rPr>
                      <w:t> </w:t>
                    </w:r>
                  </w:p>
                </w:tc>
                <w:sdt>
                  <w:sdtPr>
                    <w:rPr>
                      <w:rFonts w:cs="Cambria"/>
                      <w:sz w:val="18"/>
                      <w:szCs w:val="18"/>
                    </w:rPr>
                    <w:alias w:val="本公司作为被担保方的关联担保情况明细-担保是否已经履行完毕"/>
                    <w:tag w:val="_GBC_d7c54b58f693435fbb78b065d1e813da"/>
                    <w:id w:val="25156148"/>
                    <w:lock w:val="sdtLocked"/>
                    <w:comboBox>
                      <w:listItem w:displayText="是" w:value="true"/>
                      <w:listItem w:displayText="否" w:value="false"/>
                    </w:comboBox>
                  </w:sdtPr>
                  <w:sdtEndPr>
                    <w:rPr>
                      <w:rFonts w:cs="Cambria"/>
                      <w:sz w:val="18"/>
                      <w:szCs w:val="18"/>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sz w:val="18"/>
                            <w:szCs w:val="18"/>
                          </w:rPr>
                        </w:pPr>
                        <w:r>
                          <w:rPr>
                            <w:rFonts w:hint="eastAsia"/>
                            <w:sz w:val="18"/>
                            <w:szCs w:val="18"/>
                          </w:rPr>
                          <w:t>　</w:t>
                        </w:r>
                      </w:p>
                    </w:tc>
                  </w:sdtContent>
                </w:sdt>
              </w:tr>
            </w:sdtContent>
          </w:sdt>
        </w:tbl>
        <w:p>
          <w:pPr>
            <w:pStyle w:val="76"/>
          </w:pPr>
        </w:p>
        <w:p>
          <w:pPr>
            <w:pStyle w:val="76"/>
            <w:rPr>
              <w:rFonts w:ascii="Cambria" w:hAnsi="Cambria" w:cs="Cambria"/>
            </w:rPr>
          </w:pPr>
          <w:r>
            <w:rPr>
              <w:rFonts w:hint="eastAsia" w:ascii="Cambria" w:hAnsi="Cambria" w:cs="Cambria"/>
            </w:rPr>
            <w:t>关联担保情况说明</w:t>
          </w:r>
        </w:p>
        <w:sdt>
          <w:sdtPr>
            <w:rPr>
              <w:rFonts w:ascii="Cambria" w:hAnsi="Cambria" w:cs="Cambria"/>
            </w:rPr>
            <w:alias w:val="是否适用：关联担保情况说明[双击切换]"/>
            <w:tag w:val="_GBC_9a5a4769e8804b779ae17adb041890d7"/>
            <w:id w:val="25156150"/>
            <w:lock w:val="sdtContentLocked"/>
            <w:placeholder>
              <w:docPart w:val="GBC22222222222222222222222222222"/>
            </w:placeholder>
          </w:sdtPr>
          <w:sdtEndPr>
            <w:rPr>
              <w:rFonts w:ascii="Cambria" w:hAnsi="Cambria" w:cs="Cambria"/>
            </w:rPr>
          </w:sdtEndPr>
          <w:sdtContent>
            <w:p>
              <w:pPr>
                <w:pStyle w:val="76"/>
                <w:rPr>
                  <w:rFonts w:ascii="Cambria" w:hAnsi="Cambria"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76"/>
            <w:rPr>
              <w:rFonts w:ascii="Cambria" w:hAnsi="Cambria" w:cs="Cambria"/>
              <w:sz w:val="20"/>
              <w:szCs w:val="20"/>
            </w:rPr>
          </w:pPr>
        </w:p>
      </w:sdtContent>
    </w:sdt>
    <w:sdt>
      <w:sdtPr>
        <w:rPr>
          <w:rFonts w:hint="eastAsia" w:ascii="宋体" w:hAnsi="宋体" w:cs="宋体"/>
          <w:b w:val="0"/>
          <w:bCs w:val="0"/>
          <w:kern w:val="0"/>
          <w:szCs w:val="24"/>
        </w:rPr>
        <w:alias w:val="模块:关联方资金拆借"/>
        <w:tag w:val="_GBC_6c7c3b5a05ab429faec9917f7b8dd9f6"/>
        <w:id w:val="25156153"/>
        <w:lock w:val="sdtLocked"/>
        <w:placeholder>
          <w:docPart w:val="GBC22222222222222222222222222222"/>
        </w:placeholder>
      </w:sdtPr>
      <w:sdtEndPr>
        <w:rPr>
          <w:rFonts w:hint="default" w:ascii="宋体" w:hAnsi="宋体" w:cstheme="minorBidi"/>
          <w:b w:val="0"/>
          <w:bCs w:val="0"/>
          <w:kern w:val="0"/>
          <w:szCs w:val="21"/>
        </w:rPr>
      </w:sdtEndPr>
      <w:sdtContent>
        <w:p>
          <w:pPr>
            <w:pStyle w:val="80"/>
            <w:numPr>
              <w:ilvl w:val="0"/>
              <w:numId w:val="83"/>
            </w:numPr>
            <w:tabs>
              <w:tab w:val="left" w:pos="616"/>
            </w:tabs>
            <w:jc w:val="left"/>
          </w:pPr>
          <w:r>
            <w:rPr>
              <w:rFonts w:hint="eastAsia"/>
            </w:rPr>
            <w:t>关联方资金拆借</w:t>
          </w:r>
        </w:p>
        <w:sdt>
          <w:sdtPr>
            <w:alias w:val="是否适用：关联方资金拆借[双击切换]"/>
            <w:tag w:val="_GBC_4e638b97ab3a4cf1ac99972e688d60b1"/>
            <w:id w:val="2515615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关联方资产转让、债务重组情况"/>
        <w:tag w:val="_GBC_9319584d30f7446b9ff3e2a3d50022d5"/>
        <w:id w:val="25156155"/>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0"/>
              <w:numId w:val="83"/>
            </w:numPr>
            <w:tabs>
              <w:tab w:val="left" w:pos="616"/>
            </w:tabs>
          </w:pPr>
          <w:r>
            <w:rPr>
              <w:rFonts w:hint="eastAsia"/>
            </w:rPr>
            <w:t>关联方资产转让、债务重组情况</w:t>
          </w:r>
        </w:p>
        <w:p>
          <w:pPr>
            <w:pStyle w:val="76"/>
          </w:pPr>
          <w:sdt>
            <w:sdtPr>
              <w:alias w:val="是否适用：关联方资产转让、债务重组情况[双击切换]"/>
              <w:tag w:val="_GBC_c590c66abdbe454e89c4c55269fb6adf"/>
              <w:id w:val="25156154"/>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4"/>
        </w:rPr>
        <w:alias w:val="模块:关键管理人员报酬"/>
        <w:tag w:val="_GBC_16da1beac91f4544809058bfda2ad3bf"/>
        <w:id w:val="25156163"/>
        <w:lock w:val="sdtLocked"/>
        <w:placeholder>
          <w:docPart w:val="GBC22222222222222222222222222222"/>
        </w:placeholder>
      </w:sdtPr>
      <w:sdtEndPr>
        <w:rPr>
          <w:rFonts w:hint="eastAsia" w:ascii="宋体" w:hAnsi="宋体" w:cs="Cambria"/>
          <w:b w:val="0"/>
          <w:bCs w:val="0"/>
          <w:kern w:val="0"/>
          <w:szCs w:val="22"/>
        </w:rPr>
      </w:sdtEndPr>
      <w:sdtContent>
        <w:p>
          <w:pPr>
            <w:pStyle w:val="80"/>
            <w:numPr>
              <w:ilvl w:val="0"/>
              <w:numId w:val="83"/>
            </w:numPr>
            <w:tabs>
              <w:tab w:val="left" w:pos="616"/>
            </w:tabs>
          </w:pPr>
          <w:r>
            <w:rPr>
              <w:rFonts w:hint="eastAsia"/>
            </w:rPr>
            <w:t>关键管理人员报酬</w:t>
          </w:r>
        </w:p>
        <w:sdt>
          <w:sdtPr>
            <w:alias w:val="是否适用：关键管理人员报酬[双击切换]"/>
            <w:tag w:val="_GBC_48379e9c7f5743bb916ac1cb044f4057"/>
            <w:id w:val="2515615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rFonts w:ascii="Cambria" w:hAnsi="Cambria" w:cs="Cambria"/>
            </w:rPr>
          </w:pPr>
          <w:r>
            <w:rPr>
              <w:rFonts w:hint="eastAsia" w:ascii="Cambria" w:hAnsi="Cambria" w:cs="Cambria"/>
            </w:rPr>
            <w:t>单位：</w:t>
          </w:r>
          <w:sdt>
            <w:sdtPr>
              <w:rPr>
                <w:rFonts w:hint="eastAsia" w:ascii="Cambria" w:hAnsi="Cambria" w:cs="Cambria"/>
              </w:rPr>
              <w:alias w:val="单位：财务附注：关键管理人员报酬"/>
              <w:tag w:val="_GBC_ce83ed5df8424f9a845da83f15361f10"/>
              <w:id w:val="251561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Cambria" w:hAnsi="Cambria" w:cs="Cambria"/>
              </w:rPr>
            </w:sdtEndPr>
            <w:sdtContent>
              <w:r>
                <w:rPr>
                  <w:rFonts w:hint="eastAsia" w:ascii="Cambria" w:hAnsi="Cambria" w:cs="Cambria"/>
                </w:rPr>
                <w:t>万元</w:t>
              </w:r>
            </w:sdtContent>
          </w:sdt>
          <w:r>
            <w:rPr>
              <w:rFonts w:hint="eastAsia" w:ascii="Cambria" w:hAnsi="Cambria" w:cs="Cambria"/>
            </w:rPr>
            <w:t xml:space="preserve">  币种：</w:t>
          </w:r>
          <w:sdt>
            <w:sdtPr>
              <w:rPr>
                <w:rFonts w:hint="eastAsia" w:ascii="Cambria" w:hAnsi="Cambria" w:cs="Cambria"/>
              </w:rPr>
              <w:alias w:val="币种：财务附注：关键管理人员报酬"/>
              <w:tag w:val="_GBC_f493c9ef199846639115d5bc3032a26e"/>
              <w:id w:val="251561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3274"/>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f843efe3664c9fbe7a215b63622ea0"/>
                <w:id w:val="25156159"/>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rPr>
                    </w:pPr>
                    <w:r>
                      <w:rPr>
                        <w:rFonts w:hint="eastAsia" w:cs="Cambria"/>
                      </w:rPr>
                      <w:t>项目</w:t>
                    </w:r>
                  </w:p>
                </w:tc>
              </w:sdtContent>
            </w:sdt>
            <w:sdt>
              <w:sdtPr>
                <w:tag w:val="_PLD_30a169af324e457e93d304c688a55945"/>
                <w:id w:val="25156160"/>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rPr>
                    </w:pPr>
                    <w:r>
                      <w:rPr>
                        <w:rFonts w:hint="eastAsia" w:cs="Cambria"/>
                      </w:rPr>
                      <w:t>本期发生额</w:t>
                    </w:r>
                  </w:p>
                </w:tc>
              </w:sdtContent>
            </w:sdt>
            <w:sdt>
              <w:sdtPr>
                <w:tag w:val="_PLD_bf5a91780f544d6eade38e70db331a30"/>
                <w:id w:val="25156161"/>
                <w:lock w:val="sdtLocked"/>
              </w:sdtPr>
              <w:sdtContent>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cs="Cambria"/>
                      </w:rPr>
                    </w:pPr>
                    <w:r>
                      <w:rPr>
                        <w:rFonts w:hint="eastAsia" w:cs="Cambr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c4e2a2d92044454966304594fcd32da"/>
                <w:id w:val="25156162"/>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tcPr>
                  <w:p>
                    <w:pPr>
                      <w:pStyle w:val="76"/>
                      <w:rPr>
                        <w:rFonts w:cs="Cambria"/>
                      </w:rPr>
                    </w:pPr>
                    <w:r>
                      <w:rPr>
                        <w:rFonts w:hint="eastAsia" w:cs="Cambria"/>
                      </w:rPr>
                      <w:t>关键管理人员报酬</w:t>
                    </w:r>
                  </w:p>
                </w:tc>
              </w:sdtContent>
            </w:sdt>
            <w:tc>
              <w:tcPr>
                <w:tcW w:w="3274"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rPr>
                </w:pPr>
                <w:r>
                  <w:rPr>
                    <w:rFonts w:hint="eastAsia" w:cs="Cambria"/>
                  </w:rPr>
                  <w:t>919.40</w:t>
                </w:r>
              </w:p>
            </w:tc>
            <w:tc>
              <w:tcPr>
                <w:tcW w:w="2501" w:type="dxa"/>
                <w:tcBorders>
                  <w:top w:val="single" w:color="auto" w:sz="4" w:space="0"/>
                  <w:left w:val="single" w:color="auto" w:sz="4" w:space="0"/>
                  <w:bottom w:val="single" w:color="auto" w:sz="4" w:space="0"/>
                  <w:right w:val="single" w:color="auto" w:sz="4" w:space="0"/>
                </w:tcBorders>
                <w:shd w:val="clear" w:color="auto" w:fill="auto"/>
              </w:tcPr>
              <w:p>
                <w:pPr>
                  <w:pStyle w:val="76"/>
                  <w:jc w:val="right"/>
                  <w:rPr>
                    <w:rFonts w:cs="Cambria"/>
                  </w:rPr>
                </w:pPr>
                <w:r>
                  <w:rPr>
                    <w:rFonts w:hint="eastAsia" w:cs="Cambria"/>
                  </w:rPr>
                  <w:t>598.04</w:t>
                </w:r>
              </w:p>
            </w:tc>
          </w:tr>
        </w:tbl>
      </w:sdtContent>
    </w:sdt>
    <w:p>
      <w:pPr>
        <w:pStyle w:val="76"/>
        <w:rPr>
          <w:szCs w:val="21"/>
        </w:rPr>
      </w:pPr>
    </w:p>
    <w:sdt>
      <w:sdtPr>
        <w:rPr>
          <w:rFonts w:hint="eastAsia" w:ascii="宋体" w:hAnsi="宋体" w:cs="宋体"/>
          <w:b w:val="0"/>
          <w:bCs w:val="0"/>
          <w:kern w:val="0"/>
          <w:szCs w:val="24"/>
        </w:rPr>
        <w:alias w:val="模块:其他关联交易"/>
        <w:tag w:val="_GBC_45e2e59b0d6145b48f7cfd576edaa9e6"/>
        <w:id w:val="25156166"/>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80"/>
            <w:numPr>
              <w:ilvl w:val="0"/>
              <w:numId w:val="83"/>
            </w:numPr>
            <w:tabs>
              <w:tab w:val="left" w:pos="616"/>
            </w:tabs>
          </w:pPr>
          <w:r>
            <w:rPr>
              <w:rFonts w:hint="eastAsia"/>
            </w:rPr>
            <w:t>其他关联交易</w:t>
          </w:r>
        </w:p>
        <w:sdt>
          <w:sdtPr>
            <w:alias w:val="是否适用：其他关联交易[双击切换]"/>
            <w:tag w:val="_GBC_9768a300838a499089a7b814ff3d817d"/>
            <w:id w:val="251561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关联交易的情况"/>
            <w:tag w:val="_GBC_6032ff15164341538a97d5ac05a80e23"/>
            <w:id w:val="25156165"/>
            <w:lock w:val="sdtLocked"/>
            <w:placeholder>
              <w:docPart w:val="GBC22222222222222222222222222222"/>
            </w:placeholder>
          </w:sdtPr>
          <w:sdtEndPr>
            <w:rPr>
              <w:szCs w:val="21"/>
            </w:rPr>
          </w:sdtEndPr>
          <w:sdtContent>
            <w:p>
              <w:pPr>
                <w:pStyle w:val="76"/>
                <w:rPr>
                  <w:szCs w:val="21"/>
                </w:rPr>
              </w:pPr>
              <w:r>
                <w:rPr>
                  <w:szCs w:val="21"/>
                </w:rPr>
                <w:t>1.生产经营服务：</w:t>
              </w:r>
            </w:p>
            <w:p>
              <w:pPr>
                <w:pStyle w:val="76"/>
                <w:rPr>
                  <w:szCs w:val="21"/>
                </w:rPr>
              </w:pPr>
              <w:r>
                <w:rPr>
                  <w:szCs w:val="21"/>
                </w:rPr>
                <w:t>2001年11月19日公司与集团公司签订了《生产经营服务协议》，公司按照国家、当地统一定价或市场价格有偿使用集团公司提供的设备维修、运输、环保等生产及辅助性生产方面的服务、设施。协议有效期5年。2013年对该协议进行了续签，有效期5年。</w:t>
              </w:r>
            </w:p>
            <w:p>
              <w:pPr>
                <w:pStyle w:val="76"/>
                <w:rPr>
                  <w:szCs w:val="21"/>
                </w:rPr>
              </w:pPr>
              <w:r>
                <w:rPr>
                  <w:szCs w:val="21"/>
                </w:rPr>
                <w:t>201</w:t>
              </w:r>
              <w:r>
                <w:rPr>
                  <w:rFonts w:hint="eastAsia"/>
                  <w:szCs w:val="21"/>
                </w:rPr>
                <w:t>8</w:t>
              </w:r>
              <w:r>
                <w:rPr>
                  <w:szCs w:val="21"/>
                </w:rPr>
                <w:t>年按协议支付了</w:t>
              </w:r>
              <w:r>
                <w:rPr>
                  <w:rFonts w:hint="eastAsia"/>
                  <w:szCs w:val="21"/>
                </w:rPr>
                <w:t>9673.29</w:t>
              </w:r>
              <w:r>
                <w:rPr>
                  <w:szCs w:val="21"/>
                </w:rPr>
                <w:t>万元。</w:t>
              </w:r>
            </w:p>
            <w:p>
              <w:pPr>
                <w:pStyle w:val="76"/>
                <w:rPr>
                  <w:szCs w:val="21"/>
                </w:rPr>
              </w:pPr>
              <w:r>
                <w:rPr>
                  <w:szCs w:val="21"/>
                </w:rPr>
                <w:t>2.生活后勤服务：</w:t>
              </w:r>
            </w:p>
            <w:p>
              <w:pPr>
                <w:pStyle w:val="76"/>
                <w:rPr>
                  <w:szCs w:val="21"/>
                </w:rPr>
              </w:pPr>
              <w:r>
                <w:rPr>
                  <w:szCs w:val="21"/>
                </w:rP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pPr>
                <w:pStyle w:val="76"/>
                <w:rPr>
                  <w:szCs w:val="21"/>
                </w:rPr>
              </w:pPr>
              <w:r>
                <w:rPr>
                  <w:szCs w:val="21"/>
                </w:rPr>
                <w:t>201</w:t>
              </w:r>
              <w:r>
                <w:rPr>
                  <w:rFonts w:hint="eastAsia"/>
                  <w:szCs w:val="21"/>
                </w:rPr>
                <w:t>8</w:t>
              </w:r>
              <w:r>
                <w:rPr>
                  <w:szCs w:val="21"/>
                </w:rPr>
                <w:t>年按协议支付了</w:t>
              </w:r>
              <w:r>
                <w:rPr>
                  <w:rFonts w:hint="eastAsia"/>
                  <w:szCs w:val="21"/>
                </w:rPr>
                <w:t>500</w:t>
              </w:r>
              <w:r>
                <w:rPr>
                  <w:szCs w:val="21"/>
                </w:rPr>
                <w:t>万元。</w:t>
              </w:r>
            </w:p>
            <w:p>
              <w:pPr>
                <w:pStyle w:val="76"/>
                <w:rPr>
                  <w:szCs w:val="21"/>
                </w:rPr>
              </w:pPr>
              <w:r>
                <w:rPr>
                  <w:szCs w:val="21"/>
                </w:rPr>
                <w:t>3.销售代理：</w:t>
              </w:r>
            </w:p>
            <w:p>
              <w:pPr>
                <w:pStyle w:val="76"/>
                <w:rPr>
                  <w:szCs w:val="21"/>
                </w:rPr>
              </w:pPr>
              <w:r>
                <w:rPr>
                  <w:rFonts w:hint="eastAsia"/>
                  <w:szCs w:val="21"/>
                </w:rPr>
                <w:t>本公司于</w:t>
              </w:r>
              <w:r>
                <w:rPr>
                  <w:szCs w:val="21"/>
                </w:rPr>
                <w:t>2006年8月18日与集团公司签订《销售代理协议》，为将销售市场、客户让渡给公司，集团公司委托本公司代为销售其热轧产品，公司按热轧产品销售量收取代理销售费用。本协议有效期至热轧厂被公司收购之日止。</w:t>
              </w:r>
            </w:p>
            <w:p>
              <w:pPr>
                <w:pStyle w:val="76"/>
                <w:rPr>
                  <w:szCs w:val="21"/>
                </w:rPr>
              </w:pPr>
              <w:r>
                <w:rPr>
                  <w:szCs w:val="21"/>
                </w:rPr>
                <w:t>201</w:t>
              </w:r>
              <w:r>
                <w:rPr>
                  <w:rFonts w:hint="eastAsia"/>
                  <w:szCs w:val="21"/>
                </w:rPr>
                <w:t>8</w:t>
              </w:r>
              <w:r>
                <w:rPr>
                  <w:szCs w:val="21"/>
                </w:rPr>
                <w:t>年公司按协议向集团公司收取销售代理费</w:t>
              </w:r>
              <w:r>
                <w:rPr>
                  <w:rFonts w:hint="eastAsia"/>
                  <w:szCs w:val="21"/>
                </w:rPr>
                <w:t>421.32</w:t>
              </w:r>
              <w:r>
                <w:rPr>
                  <w:szCs w:val="21"/>
                </w:rPr>
                <w:t>万元。</w:t>
              </w:r>
            </w:p>
          </w:sdtContent>
        </w:sdt>
      </w:sdtContent>
    </w:sdt>
    <w:p>
      <w:pPr>
        <w:pStyle w:val="76"/>
        <w:rPr>
          <w:szCs w:val="21"/>
        </w:rPr>
      </w:pPr>
    </w:p>
    <w:p>
      <w:pPr>
        <w:pStyle w:val="79"/>
        <w:numPr>
          <w:ilvl w:val="0"/>
          <w:numId w:val="82"/>
        </w:numPr>
        <w:rPr>
          <w:rFonts w:ascii="宋体" w:hAnsi="宋体" w:cs="Arial"/>
          <w:szCs w:val="21"/>
        </w:rPr>
      </w:pPr>
      <w:r>
        <w:rPr>
          <w:rFonts w:hint="eastAsia" w:ascii="宋体" w:hAnsi="宋体" w:cs="Arial"/>
          <w:szCs w:val="21"/>
        </w:rPr>
        <w:t>关联方应收应付款项</w:t>
      </w:r>
    </w:p>
    <w:sdt>
      <w:sdtPr>
        <w:rPr>
          <w:rFonts w:hint="eastAsia" w:ascii="宋体" w:hAnsi="宋体" w:cs="Arial"/>
          <w:b w:val="0"/>
          <w:bCs w:val="0"/>
          <w:kern w:val="0"/>
          <w:szCs w:val="21"/>
        </w:rPr>
        <w:alias w:val="模块:上市公司应收关联方款项"/>
        <w:tag w:val="_GBC_a8ddb53cf3424889a48a1749b5a1d910"/>
        <w:id w:val="25156206"/>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80"/>
            <w:numPr>
              <w:ilvl w:val="0"/>
              <w:numId w:val="84"/>
            </w:numPr>
            <w:tabs>
              <w:tab w:val="left" w:pos="616"/>
            </w:tabs>
          </w:pPr>
          <w:r>
            <w:rPr>
              <w:rFonts w:hint="eastAsia"/>
            </w:rPr>
            <w:t>应收项目</w:t>
          </w:r>
        </w:p>
        <w:sdt>
          <w:sdtPr>
            <w:alias w:val="是否适用：应收项目[双击切换]"/>
            <w:tag w:val="_GBC_e5475e28b21641f6895ac4770b2631b5"/>
            <w:id w:val="2515616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上市公司应收关联方款项"/>
              <w:tag w:val="_GBC_04d0c208b4494e01aba7984c41905093"/>
              <w:id w:val="25156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25156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29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49"/>
            <w:gridCol w:w="3319"/>
            <w:gridCol w:w="1320"/>
            <w:gridCol w:w="1141"/>
            <w:gridCol w:w="132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75750bc8ac464afa98573c85adea097c"/>
                <w:id w:val="25156170"/>
                <w:lock w:val="sdtLocked"/>
              </w:sdtPr>
              <w:sdtEndPr>
                <w:rPr>
                  <w:sz w:val="18"/>
                  <w:szCs w:val="18"/>
                </w:rPr>
              </w:sdtEndPr>
              <w:sdtContent>
                <w:tc>
                  <w:tcPr>
                    <w:tcW w:w="1049"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项目名称</w:t>
                    </w:r>
                  </w:p>
                </w:tc>
              </w:sdtContent>
            </w:sdt>
            <w:sdt>
              <w:sdtPr>
                <w:rPr>
                  <w:sz w:val="18"/>
                  <w:szCs w:val="18"/>
                </w:rPr>
                <w:tag w:val="_PLD_5006be842c534839b3dabcf833329dd5"/>
                <w:id w:val="25156171"/>
                <w:lock w:val="sdtLocked"/>
              </w:sdtPr>
              <w:sdtEndPr>
                <w:rPr>
                  <w:sz w:val="18"/>
                  <w:szCs w:val="18"/>
                </w:rPr>
              </w:sdtEndPr>
              <w:sdtContent>
                <w:tc>
                  <w:tcPr>
                    <w:tcW w:w="3319" w:type="dxa"/>
                    <w:vMerge w:val="restart"/>
                    <w:tcBorders>
                      <w:top w:val="single" w:color="auto" w:sz="4" w:space="0"/>
                      <w:left w:val="single" w:color="auto" w:sz="4" w:space="0"/>
                      <w:right w:val="single" w:color="auto" w:sz="4" w:space="0"/>
                    </w:tcBorders>
                    <w:vAlign w:val="center"/>
                  </w:tcPr>
                  <w:p>
                    <w:pPr>
                      <w:pStyle w:val="76"/>
                      <w:jc w:val="center"/>
                      <w:rPr>
                        <w:sz w:val="18"/>
                        <w:szCs w:val="18"/>
                      </w:rPr>
                    </w:pPr>
                    <w:r>
                      <w:rPr>
                        <w:rFonts w:hint="eastAsia"/>
                        <w:sz w:val="18"/>
                        <w:szCs w:val="18"/>
                      </w:rPr>
                      <w:t>关联方</w:t>
                    </w:r>
                  </w:p>
                </w:tc>
              </w:sdtContent>
            </w:sdt>
            <w:sdt>
              <w:sdtPr>
                <w:rPr>
                  <w:sz w:val="18"/>
                  <w:szCs w:val="18"/>
                </w:rPr>
                <w:tag w:val="_PLD_f8f3c28b2f064090a27f319875eb1b52"/>
                <w:id w:val="25156172"/>
                <w:lock w:val="sdtLocked"/>
              </w:sdtPr>
              <w:sdtEndPr>
                <w:rPr>
                  <w:sz w:val="18"/>
                  <w:szCs w:val="18"/>
                </w:rPr>
              </w:sdtEndPr>
              <w:sdtContent>
                <w:tc>
                  <w:tcPr>
                    <w:tcW w:w="2461"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期末余额</w:t>
                    </w:r>
                  </w:p>
                </w:tc>
              </w:sdtContent>
            </w:sdt>
            <w:sdt>
              <w:sdtPr>
                <w:rPr>
                  <w:sz w:val="18"/>
                  <w:szCs w:val="18"/>
                </w:rPr>
                <w:tag w:val="_PLD_fdab8cbff0b74f19a916d61075f629a0"/>
                <w:id w:val="25156173"/>
                <w:lock w:val="sdtLocked"/>
              </w:sdtPr>
              <w:sdtEndPr>
                <w:rPr>
                  <w:sz w:val="18"/>
                  <w:szCs w:val="18"/>
                </w:rPr>
              </w:sdtEndPr>
              <w:sdtContent>
                <w:tc>
                  <w:tcPr>
                    <w:tcW w:w="2461"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vMerge w:val="continue"/>
                <w:tcBorders>
                  <w:left w:val="single" w:color="auto" w:sz="4" w:space="0"/>
                  <w:bottom w:val="single" w:color="auto" w:sz="4" w:space="0"/>
                  <w:right w:val="single" w:color="auto" w:sz="4" w:space="0"/>
                </w:tcBorders>
                <w:vAlign w:val="center"/>
              </w:tcPr>
              <w:p>
                <w:pPr>
                  <w:pStyle w:val="76"/>
                  <w:jc w:val="center"/>
                  <w:rPr>
                    <w:sz w:val="18"/>
                    <w:szCs w:val="18"/>
                  </w:rPr>
                </w:pPr>
              </w:p>
            </w:tc>
            <w:tc>
              <w:tcPr>
                <w:tcW w:w="3319" w:type="dxa"/>
                <w:vMerge w:val="continue"/>
                <w:tcBorders>
                  <w:left w:val="single" w:color="auto" w:sz="4" w:space="0"/>
                  <w:bottom w:val="single" w:color="auto" w:sz="4" w:space="0"/>
                  <w:right w:val="single" w:color="auto" w:sz="4" w:space="0"/>
                </w:tcBorders>
                <w:vAlign w:val="center"/>
              </w:tcPr>
              <w:p>
                <w:pPr>
                  <w:pStyle w:val="76"/>
                  <w:jc w:val="center"/>
                  <w:rPr>
                    <w:sz w:val="18"/>
                    <w:szCs w:val="18"/>
                  </w:rPr>
                </w:pPr>
              </w:p>
            </w:tc>
            <w:sdt>
              <w:sdtPr>
                <w:rPr>
                  <w:sz w:val="18"/>
                  <w:szCs w:val="18"/>
                </w:rPr>
                <w:tag w:val="_PLD_5c085d18049644c9860a00b248b7c0ba"/>
                <w:id w:val="25156174"/>
                <w:lock w:val="sdtLocked"/>
              </w:sdtPr>
              <w:sdtEndPr>
                <w:rPr>
                  <w:sz w:val="18"/>
                  <w:szCs w:val="18"/>
                </w:rPr>
              </w:sdtEndPr>
              <w:sdtContent>
                <w:tc>
                  <w:tcPr>
                    <w:tcW w:w="1320"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8262489c05a6417a883e2c877ded6170"/>
                <w:id w:val="25156175"/>
                <w:lock w:val="sdtLocked"/>
              </w:sdtPr>
              <w:sdtEndPr>
                <w:rPr>
                  <w:sz w:val="18"/>
                  <w:szCs w:val="18"/>
                </w:rPr>
              </w:sdtEndPr>
              <w:sdtContent>
                <w:tc>
                  <w:tcPr>
                    <w:tcW w:w="1141"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sdt>
              <w:sdtPr>
                <w:rPr>
                  <w:sz w:val="18"/>
                  <w:szCs w:val="18"/>
                </w:rPr>
                <w:tag w:val="_PLD_46c6d827df3f47a3bc83a6dd8718f17e"/>
                <w:id w:val="25156176"/>
                <w:lock w:val="sdtLocked"/>
              </w:sdtPr>
              <w:sdtEndPr>
                <w:rPr>
                  <w:sz w:val="18"/>
                  <w:szCs w:val="18"/>
                </w:rPr>
              </w:sdtEndPr>
              <w:sdtContent>
                <w:tc>
                  <w:tcPr>
                    <w:tcW w:w="1320"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账面余额</w:t>
                    </w:r>
                  </w:p>
                </w:tc>
              </w:sdtContent>
            </w:sdt>
            <w:sdt>
              <w:sdtPr>
                <w:rPr>
                  <w:sz w:val="18"/>
                  <w:szCs w:val="18"/>
                </w:rPr>
                <w:tag w:val="_PLD_fca2aa8baf8a48a7a4cdc730d7420d47"/>
                <w:id w:val="25156177"/>
                <w:lock w:val="sdtLocked"/>
              </w:sdtPr>
              <w:sdtEndPr>
                <w:rPr>
                  <w:sz w:val="18"/>
                  <w:szCs w:val="18"/>
                </w:rPr>
              </w:sdtEndPr>
              <w:sdtContent>
                <w:tc>
                  <w:tcPr>
                    <w:tcW w:w="1141" w:type="dxa"/>
                    <w:tcBorders>
                      <w:top w:val="single" w:color="auto" w:sz="4" w:space="0"/>
                      <w:left w:val="single" w:color="auto" w:sz="4" w:space="0"/>
                      <w:bottom w:val="single" w:color="auto" w:sz="4" w:space="0"/>
                      <w:right w:val="single" w:color="auto" w:sz="4" w:space="0"/>
                    </w:tcBorders>
                    <w:vAlign w:val="center"/>
                  </w:tcPr>
                  <w:p>
                    <w:pPr>
                      <w:pStyle w:val="76"/>
                      <w:jc w:val="center"/>
                      <w:rPr>
                        <w:sz w:val="18"/>
                        <w:szCs w:val="18"/>
                      </w:rPr>
                    </w:pPr>
                    <w:r>
                      <w:rPr>
                        <w:rFonts w:hint="eastAsia"/>
                        <w:sz w:val="18"/>
                        <w:szCs w:val="18"/>
                      </w:rPr>
                      <w:t>坏账准备</w:t>
                    </w:r>
                  </w:p>
                </w:tc>
              </w:sdtContent>
            </w:sdt>
          </w:tr>
          <w:sdt>
            <w:sdtPr>
              <w:rPr>
                <w:rFonts w:hint="eastAsia"/>
                <w:sz w:val="18"/>
                <w:szCs w:val="18"/>
              </w:rPr>
              <w:alias w:val="上市公司应收关联方款项明细"/>
              <w:tag w:val="_GBC_203fd12dc6be4a978fe2a9d9f5ad1070"/>
              <w:id w:val="2515617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柳州兴钢建筑安装工程处</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6,029,116.53</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231,536.58</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7,717,886.07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231,536.58</w:t>
                    </w:r>
                  </w:p>
                </w:tc>
              </w:tr>
            </w:sdtContent>
          </w:sdt>
          <w:sdt>
            <w:sdtPr>
              <w:rPr>
                <w:rFonts w:hint="eastAsia"/>
                <w:sz w:val="18"/>
                <w:szCs w:val="18"/>
              </w:rPr>
              <w:alias w:val="上市公司应收关联方款项明细"/>
              <w:tag w:val="_GBC_203fd12dc6be4a978fe2a9d9f5ad1070"/>
              <w:id w:val="2515617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17,631,795.63</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207,661.13</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6,922,037.61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207,661.13</w:t>
                    </w:r>
                  </w:p>
                </w:tc>
              </w:tr>
            </w:sdtContent>
          </w:sdt>
          <w:sdt>
            <w:sdtPr>
              <w:rPr>
                <w:rFonts w:hint="eastAsia"/>
                <w:sz w:val="18"/>
                <w:szCs w:val="18"/>
              </w:rPr>
              <w:alias w:val="上市公司应收关联方款项明细"/>
              <w:tag w:val="_GBC_203fd12dc6be4a978fe2a9d9f5ad1070"/>
              <w:id w:val="2515618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5,156,677.69</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154,700.33</w:t>
                    </w:r>
                  </w:p>
                </w:tc>
              </w:tr>
            </w:sdtContent>
          </w:sdt>
          <w:sdt>
            <w:sdtPr>
              <w:rPr>
                <w:rFonts w:hint="eastAsia"/>
                <w:sz w:val="18"/>
                <w:szCs w:val="18"/>
              </w:rPr>
              <w:alias w:val="上市公司应收关联方款项明细"/>
              <w:tag w:val="_GBC_203fd12dc6be4a978fe2a9d9f5ad1070"/>
              <w:id w:val="2515618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柳州特久恒机械设备有限公司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5,704,251.58</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570,425.16</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5,704,251.58</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570,425.16</w:t>
                    </w:r>
                  </w:p>
                </w:tc>
              </w:tr>
            </w:sdtContent>
          </w:sdt>
          <w:sdt>
            <w:sdtPr>
              <w:rPr>
                <w:rFonts w:hint="eastAsia"/>
                <w:sz w:val="18"/>
                <w:szCs w:val="18"/>
              </w:rPr>
              <w:alias w:val="上市公司应收关联方款项明细"/>
              <w:tag w:val="_GBC_203fd12dc6be4a978fe2a9d9f5ad1070"/>
              <w:id w:val="2515618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柳州市强实科技有限公司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36,634,467.07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989,909.95</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32,996,998.18</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989,909.95</w:t>
                    </w:r>
                  </w:p>
                </w:tc>
              </w:tr>
            </w:sdtContent>
          </w:sdt>
          <w:sdt>
            <w:sdtPr>
              <w:rPr>
                <w:rFonts w:hint="eastAsia"/>
                <w:sz w:val="18"/>
                <w:szCs w:val="18"/>
              </w:rPr>
              <w:alias w:val="上市公司应收关联方款项明细"/>
              <w:tag w:val="_GBC_203fd12dc6be4a978fe2a9d9f5ad1070"/>
              <w:id w:val="2515618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广西南宁柳钢钢材销售有限公司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14,023,687.67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145,975.20</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4,865,840.09</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145,975.20</w:t>
                    </w:r>
                  </w:p>
                </w:tc>
              </w:tr>
            </w:sdtContent>
          </w:sdt>
          <w:sdt>
            <w:sdtPr>
              <w:rPr>
                <w:rFonts w:hint="eastAsia"/>
                <w:sz w:val="18"/>
                <w:szCs w:val="18"/>
              </w:rPr>
              <w:alias w:val="上市公司应收关联方款项明细"/>
              <w:tag w:val="_GBC_203fd12dc6be4a978fe2a9d9f5ad1070"/>
              <w:id w:val="2515618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柳州市新游化工有限责任公司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51,710,718.65</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1,251,430.83</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41,714,361.06</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1,251,430.83</w:t>
                    </w:r>
                  </w:p>
                </w:tc>
              </w:tr>
            </w:sdtContent>
          </w:sdt>
          <w:sdt>
            <w:sdtPr>
              <w:rPr>
                <w:rFonts w:hint="eastAsia"/>
                <w:sz w:val="18"/>
                <w:szCs w:val="18"/>
              </w:rPr>
              <w:alias w:val="上市公司应收关联方款项明细"/>
              <w:tag w:val="_GBC_203fd12dc6be4a978fe2a9d9f5ad1070"/>
              <w:id w:val="2515618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桂林市刚茂升贸易有限公司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23,054,041.11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287,845.24</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9,594,841.45</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287,845.24</w:t>
                    </w:r>
                  </w:p>
                </w:tc>
              </w:tr>
            </w:sdtContent>
          </w:sdt>
          <w:sdt>
            <w:sdtPr>
              <w:rPr>
                <w:rFonts w:hint="eastAsia"/>
                <w:sz w:val="18"/>
                <w:szCs w:val="18"/>
              </w:rPr>
              <w:alias w:val="上市公司应收关联方款项明细"/>
              <w:tag w:val="_GBC_203fd12dc6be4a978fe2a9d9f5ad1070"/>
              <w:id w:val="2515618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柳州市惕艾惕冶金余热发电有限公司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60,000.00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2,007.34</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66,911.42</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2,007.34</w:t>
                    </w:r>
                  </w:p>
                </w:tc>
              </w:tr>
            </w:sdtContent>
          </w:sdt>
          <w:sdt>
            <w:sdtPr>
              <w:rPr>
                <w:rFonts w:hint="eastAsia"/>
                <w:sz w:val="18"/>
                <w:szCs w:val="18"/>
              </w:rPr>
              <w:alias w:val="上市公司应收关联方款项明细"/>
              <w:tag w:val="_GBC_203fd12dc6be4a978fe2a9d9f5ad1070"/>
              <w:id w:val="2515618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广西柳钢环保股份有限公司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3,355,029.37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205,450.83</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6,848,361.11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205,450.83</w:t>
                    </w:r>
                  </w:p>
                </w:tc>
              </w:tr>
            </w:sdtContent>
          </w:sdt>
          <w:sdt>
            <w:sdtPr>
              <w:rPr>
                <w:rFonts w:hint="eastAsia"/>
                <w:sz w:val="18"/>
                <w:szCs w:val="18"/>
              </w:rPr>
              <w:alias w:val="上市公司应收关联方款项明细"/>
              <w:tag w:val="_GBC_203fd12dc6be4a978fe2a9d9f5ad1070"/>
              <w:id w:val="2515618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柳州市新和刚电力有限责任公司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272,193.81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1,924.46</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64,148.76</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1,924.46</w:t>
                    </w:r>
                  </w:p>
                </w:tc>
              </w:tr>
            </w:sdtContent>
          </w:sdt>
          <w:sdt>
            <w:sdtPr>
              <w:rPr>
                <w:rFonts w:hint="eastAsia"/>
                <w:sz w:val="18"/>
                <w:szCs w:val="18"/>
              </w:rPr>
              <w:alias w:val="上市公司应收关联方款项明细"/>
              <w:tag w:val="_GBC_203fd12dc6be4a978fe2a9d9f5ad1070"/>
              <w:id w:val="2515618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柳州市多元贸易有限责任公司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1,949,013.03</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70,483.46</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2,349,448.65</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70,483.46</w:t>
                    </w:r>
                  </w:p>
                </w:tc>
              </w:tr>
            </w:sdtContent>
          </w:sdt>
          <w:sdt>
            <w:sdtPr>
              <w:rPr>
                <w:rFonts w:hint="eastAsia"/>
                <w:sz w:val="18"/>
                <w:szCs w:val="18"/>
              </w:rPr>
              <w:alias w:val="上市公司应收关联方款项明细"/>
              <w:tag w:val="_GBC_203fd12dc6be4a978fe2a9d9f5ad1070"/>
              <w:id w:val="2515619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广西华锐钢铁工程设计咨询有限责任公司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21,343.60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640.31</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21,343.60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640.31</w:t>
                    </w:r>
                  </w:p>
                </w:tc>
              </w:tr>
            </w:sdtContent>
          </w:sdt>
          <w:sdt>
            <w:sdtPr>
              <w:rPr>
                <w:rFonts w:hint="eastAsia"/>
                <w:sz w:val="18"/>
                <w:szCs w:val="18"/>
              </w:rPr>
              <w:alias w:val="上市公司应收关联方款项明细"/>
              <w:tag w:val="_GBC_203fd12dc6be4a978fe2a9d9f5ad1070"/>
              <w:id w:val="2515619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广西柳钢阳光钢结构有限公司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84,430.95</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广西柳钢资产经营管理有限公司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175.50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柳州山海科技股份有限公司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16,147.20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柳州市曼凯亚科技有限责任公司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1,053.00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柳州市瑞中运钢材储运有限公司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3,322.14</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十一冶建设集团有限责任公司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12,255.06</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19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柳州锐源鹏节能环保科技有限公司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1,100.97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33.03</w:t>
                    </w:r>
                  </w:p>
                </w:tc>
              </w:tr>
            </w:sdtContent>
          </w:sdt>
          <w:sdt>
            <w:sdtPr>
              <w:rPr>
                <w:rFonts w:hint="eastAsia"/>
                <w:sz w:val="18"/>
                <w:szCs w:val="18"/>
              </w:rPr>
              <w:alias w:val="上市公司应收关联方款项明细"/>
              <w:tag w:val="_GBC_203fd12dc6be4a978fe2a9d9f5ad1070"/>
              <w:id w:val="2515619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广西柳钢国际贸易有限公司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3,057.21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91.72</w:t>
                    </w:r>
                  </w:p>
                </w:tc>
              </w:tr>
            </w:sdtContent>
          </w:sdt>
          <w:sdt>
            <w:sdtPr>
              <w:rPr>
                <w:rFonts w:hint="eastAsia"/>
                <w:sz w:val="18"/>
                <w:szCs w:val="18"/>
              </w:rPr>
              <w:alias w:val="上市公司应收关联方款项明细"/>
              <w:tag w:val="_GBC_203fd12dc6be4a978fe2a9d9f5ad1070"/>
              <w:id w:val="2515619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预付账款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广西柳钢国际贸易有限公司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265,610,365.87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3,667,335.37</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122,244,512.49</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3,667,335.37</w:t>
                    </w:r>
                  </w:p>
                </w:tc>
              </w:tr>
            </w:sdtContent>
          </w:sdt>
          <w:sdt>
            <w:sdtPr>
              <w:rPr>
                <w:rFonts w:hint="eastAsia"/>
                <w:sz w:val="18"/>
                <w:szCs w:val="18"/>
              </w:rPr>
              <w:alias w:val="上市公司应收关联方款项明细"/>
              <w:tag w:val="_GBC_203fd12dc6be4a978fe2a9d9f5ad1070"/>
              <w:id w:val="2515620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预付账款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10,236.04</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307.08</w:t>
                    </w:r>
                  </w:p>
                </w:tc>
              </w:tr>
            </w:sdtContent>
          </w:sdt>
          <w:sdt>
            <w:sdtPr>
              <w:rPr>
                <w:rFonts w:hint="eastAsia"/>
                <w:sz w:val="18"/>
                <w:szCs w:val="18"/>
              </w:rPr>
              <w:alias w:val="上市公司应收关联方款项明细"/>
              <w:tag w:val="_GBC_203fd12dc6be4a978fe2a9d9f5ad1070"/>
              <w:id w:val="2515620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其他应收款</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382,010.47</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11,460.31</w:t>
                    </w:r>
                  </w:p>
                </w:tc>
              </w:tr>
            </w:sdtContent>
          </w:sdt>
          <w:sdt>
            <w:sdtPr>
              <w:rPr>
                <w:rFonts w:hint="eastAsia"/>
                <w:sz w:val="18"/>
                <w:szCs w:val="18"/>
              </w:rPr>
              <w:alias w:val="上市公司应收关联方款项明细"/>
              <w:tag w:val="_GBC_203fd12dc6be4a978fe2a9d9f5ad1070"/>
              <w:id w:val="2515620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应收票据</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141,660,000.00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4,130,000.00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20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应收票据</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柳州市品成金属材料有限公司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67,000,000.00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575,000.00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20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应收票据</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柳州兴钢建筑安装工程处</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55,846,285.01</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GBC_203fd12dc6be4a978fe2a9d9f5ad1070"/>
              <w:id w:val="2515620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49"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应收票据</w:t>
                    </w:r>
                  </w:p>
                </w:tc>
                <w:tc>
                  <w:tcPr>
                    <w:tcW w:w="3319"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r>
                      <w:rPr>
                        <w:sz w:val="18"/>
                        <w:szCs w:val="18"/>
                      </w:rPr>
                      <w:t>41,897,441.00</w:t>
                    </w: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jc w:val="right"/>
                      <w:rPr>
                        <w:rFonts w:ascii="Arial Narrow" w:hAnsi="Arial Narrow"/>
                        <w:sz w:val="18"/>
                        <w:szCs w:val="18"/>
                      </w:rPr>
                    </w:pPr>
                  </w:p>
                </w:tc>
              </w:tr>
            </w:sdtContent>
          </w:sdt>
        </w:tbl>
        <w:p>
          <w:pPr>
            <w:pStyle w:val="76"/>
          </w:pPr>
        </w:p>
        <w:p>
          <w:pPr>
            <w:pStyle w:val="76"/>
            <w:rPr>
              <w:rFonts w:ascii="仿宋_GB2312" w:eastAsia="仿宋_GB2312"/>
              <w:szCs w:val="21"/>
            </w:rPr>
          </w:pPr>
        </w:p>
      </w:sdtContent>
    </w:sdt>
    <w:sdt>
      <w:sdtPr>
        <w:rPr>
          <w:rFonts w:hint="eastAsia" w:ascii="宋体" w:hAnsi="宋体" w:cs="宋体"/>
          <w:b w:val="0"/>
          <w:bCs w:val="0"/>
          <w:kern w:val="0"/>
          <w:szCs w:val="24"/>
        </w:rPr>
        <w:alias w:val="模块:上市公司应付关联方款项"/>
        <w:tag w:val="_GBC_e7a5511f50dd4f05a897cdfaeac4023f"/>
        <w:id w:val="25156260"/>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80"/>
            <w:numPr>
              <w:ilvl w:val="0"/>
              <w:numId w:val="84"/>
            </w:numPr>
            <w:tabs>
              <w:tab w:val="left" w:pos="616"/>
            </w:tabs>
          </w:pPr>
          <w:r>
            <w:rPr>
              <w:rFonts w:hint="eastAsia"/>
            </w:rPr>
            <w:t>应付项目</w:t>
          </w:r>
        </w:p>
        <w:p>
          <w:pPr>
            <w:pStyle w:val="76"/>
          </w:pPr>
          <w:sdt>
            <w:sdtPr>
              <w:rPr>
                <w:rFonts w:hint="eastAsia"/>
                <w:szCs w:val="21"/>
              </w:rPr>
              <w:alias w:val="是否适用：应付项目[双击切换]"/>
              <w:tag w:val="_GBC_9dbefb51b716471b878d2e2863524a53"/>
              <w:id w:val="25156207"/>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pStyle w:val="76"/>
            <w:jc w:val="right"/>
            <w:rPr>
              <w:szCs w:val="21"/>
            </w:rPr>
          </w:pPr>
          <w:r>
            <w:rPr>
              <w:rFonts w:hint="eastAsia"/>
              <w:szCs w:val="21"/>
            </w:rPr>
            <w:t>单位:</w:t>
          </w:r>
          <w:sdt>
            <w:sdtPr>
              <w:rPr>
                <w:rFonts w:hint="eastAsia"/>
                <w:szCs w:val="21"/>
              </w:rPr>
              <w:alias w:val="单位：上市公司应付关联方款项"/>
              <w:tag w:val="_GBC_08d04faee6a64768877db8f6ab14663e"/>
              <w:id w:val="25156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251562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22"/>
            <w:gridCol w:w="3828"/>
            <w:gridCol w:w="1985"/>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cf838d28f8e94c899328f1b9cd175b08"/>
                <w:id w:val="25156210"/>
                <w:lock w:val="sdtLocked"/>
              </w:sdtPr>
              <w:sdtEndPr>
                <w:rPr>
                  <w:sz w:val="18"/>
                  <w:szCs w:val="18"/>
                </w:rPr>
              </w:sdtEndPr>
              <w:sdtContent>
                <w:tc>
                  <w:tcPr>
                    <w:tcW w:w="1022" w:type="dxa"/>
                    <w:tcBorders>
                      <w:top w:val="single" w:color="auto" w:sz="4" w:space="0"/>
                      <w:left w:val="single" w:color="auto" w:sz="4" w:space="0"/>
                      <w:right w:val="single" w:color="auto" w:sz="4" w:space="0"/>
                    </w:tcBorders>
                  </w:tcPr>
                  <w:p>
                    <w:pPr>
                      <w:pStyle w:val="76"/>
                      <w:jc w:val="center"/>
                      <w:rPr>
                        <w:sz w:val="18"/>
                        <w:szCs w:val="18"/>
                      </w:rPr>
                    </w:pPr>
                    <w:r>
                      <w:rPr>
                        <w:rFonts w:hint="eastAsia"/>
                        <w:sz w:val="18"/>
                        <w:szCs w:val="18"/>
                      </w:rPr>
                      <w:t>项目名称</w:t>
                    </w:r>
                  </w:p>
                </w:tc>
              </w:sdtContent>
            </w:sdt>
            <w:sdt>
              <w:sdtPr>
                <w:rPr>
                  <w:sz w:val="18"/>
                  <w:szCs w:val="18"/>
                </w:rPr>
                <w:tag w:val="_PLD_25173a15407f4af6adbf91389dcc2257"/>
                <w:id w:val="25156211"/>
                <w:lock w:val="sdtLocked"/>
              </w:sdtPr>
              <w:sdtEndPr>
                <w:rPr>
                  <w:sz w:val="18"/>
                  <w:szCs w:val="18"/>
                </w:rPr>
              </w:sdtEndPr>
              <w:sdtContent>
                <w:tc>
                  <w:tcPr>
                    <w:tcW w:w="3828" w:type="dxa"/>
                    <w:tcBorders>
                      <w:top w:val="single" w:color="auto" w:sz="4" w:space="0"/>
                      <w:left w:val="single" w:color="auto" w:sz="4" w:space="0"/>
                      <w:right w:val="single" w:color="auto" w:sz="4" w:space="0"/>
                    </w:tcBorders>
                  </w:tcPr>
                  <w:p>
                    <w:pPr>
                      <w:pStyle w:val="76"/>
                      <w:jc w:val="center"/>
                      <w:rPr>
                        <w:sz w:val="18"/>
                        <w:szCs w:val="18"/>
                      </w:rPr>
                    </w:pPr>
                    <w:r>
                      <w:rPr>
                        <w:rFonts w:hint="eastAsia"/>
                        <w:sz w:val="18"/>
                        <w:szCs w:val="18"/>
                      </w:rPr>
                      <w:t>关联方</w:t>
                    </w:r>
                  </w:p>
                </w:tc>
              </w:sdtContent>
            </w:sdt>
            <w:sdt>
              <w:sdtPr>
                <w:rPr>
                  <w:sz w:val="18"/>
                  <w:szCs w:val="18"/>
                </w:rPr>
                <w:tag w:val="_PLD_a8551739db0f47cab1b1a6ea0e700367"/>
                <w:id w:val="25156212"/>
                <w:lock w:val="sdtLocked"/>
              </w:sdtPr>
              <w:sdtEndPr>
                <w:rPr>
                  <w:sz w:val="18"/>
                  <w:szCs w:val="18"/>
                </w:rPr>
              </w:sdtEndPr>
              <w:sdtContent>
                <w:tc>
                  <w:tcPr>
                    <w:tcW w:w="1985"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期末账面余额</w:t>
                    </w:r>
                  </w:p>
                </w:tc>
              </w:sdtContent>
            </w:sdt>
            <w:sdt>
              <w:sdtPr>
                <w:rPr>
                  <w:sz w:val="18"/>
                  <w:szCs w:val="18"/>
                </w:rPr>
                <w:tag w:val="_PLD_83bc027cb7f1401db7a26beffe77ce00"/>
                <w:id w:val="25156213"/>
                <w:lock w:val="sdtLocked"/>
              </w:sdtPr>
              <w:sdtEndPr>
                <w:rPr>
                  <w:sz w:val="18"/>
                  <w:szCs w:val="18"/>
                </w:rPr>
              </w:sdtEndPr>
              <w:sdtContent>
                <w:tc>
                  <w:tcPr>
                    <w:tcW w:w="2058" w:type="dxa"/>
                    <w:tcBorders>
                      <w:top w:val="single" w:color="auto" w:sz="4" w:space="0"/>
                      <w:left w:val="single" w:color="auto" w:sz="4" w:space="0"/>
                      <w:bottom w:val="single" w:color="auto" w:sz="4" w:space="0"/>
                      <w:right w:val="single" w:color="auto" w:sz="4" w:space="0"/>
                    </w:tcBorders>
                  </w:tcPr>
                  <w:p>
                    <w:pPr>
                      <w:pStyle w:val="76"/>
                      <w:jc w:val="center"/>
                      <w:rPr>
                        <w:sz w:val="18"/>
                        <w:szCs w:val="18"/>
                      </w:rPr>
                    </w:pPr>
                    <w:r>
                      <w:rPr>
                        <w:rFonts w:hint="eastAsia"/>
                        <w:sz w:val="18"/>
                        <w:szCs w:val="18"/>
                      </w:rPr>
                      <w:t>期初账面余额</w:t>
                    </w:r>
                  </w:p>
                </w:tc>
              </w:sdtContent>
            </w:sdt>
          </w:tr>
          <w:sdt>
            <w:sdtPr>
              <w:rPr>
                <w:rFonts w:hint="eastAsia"/>
                <w:sz w:val="18"/>
                <w:szCs w:val="18"/>
              </w:rPr>
              <w:alias w:val="上市公司应付关联方款项明细"/>
              <w:tag w:val="_GBC_bb3d19486f2b460b856a135056bd0897"/>
              <w:id w:val="2515621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5,885,624.10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24,134,526.98</w:t>
                    </w:r>
                  </w:p>
                </w:tc>
              </w:tr>
            </w:sdtContent>
          </w:sdt>
          <w:sdt>
            <w:sdtPr>
              <w:rPr>
                <w:rFonts w:hint="eastAsia"/>
                <w:sz w:val="18"/>
                <w:szCs w:val="18"/>
              </w:rPr>
              <w:alias w:val="上市公司应付关联方款项明细"/>
              <w:tag w:val="_GBC_bb3d19486f2b460b856a135056bd0897"/>
              <w:id w:val="2515621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柳州兴钢建筑安装工程处</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9,890,579.33</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20,807,815.64</w:t>
                    </w:r>
                  </w:p>
                </w:tc>
              </w:tr>
            </w:sdtContent>
          </w:sdt>
          <w:sdt>
            <w:sdtPr>
              <w:rPr>
                <w:rFonts w:hint="eastAsia"/>
                <w:sz w:val="18"/>
                <w:szCs w:val="18"/>
              </w:rPr>
              <w:alias w:val="上市公司应付关联方款项明细"/>
              <w:tag w:val="_GBC_bb3d19486f2b460b856a135056bd0897"/>
              <w:id w:val="2515621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29,244,399.58</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16,067,019.16</w:t>
                    </w:r>
                  </w:p>
                </w:tc>
              </w:tr>
            </w:sdtContent>
          </w:sdt>
          <w:sdt>
            <w:sdtPr>
              <w:rPr>
                <w:rFonts w:hint="eastAsia"/>
                <w:sz w:val="18"/>
                <w:szCs w:val="18"/>
              </w:rPr>
              <w:alias w:val="上市公司应付关联方款项明细"/>
              <w:tag w:val="_GBC_bb3d19486f2b460b856a135056bd0897"/>
              <w:id w:val="2515621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柳州市强实科技有限公司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481,573.78</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752,547.29</w:t>
                    </w:r>
                  </w:p>
                </w:tc>
              </w:tr>
            </w:sdtContent>
          </w:sdt>
          <w:sdt>
            <w:sdtPr>
              <w:rPr>
                <w:rFonts w:hint="eastAsia"/>
                <w:sz w:val="18"/>
                <w:szCs w:val="18"/>
              </w:rPr>
              <w:alias w:val="上市公司应付关联方款项明细"/>
              <w:tag w:val="_GBC_bb3d19486f2b460b856a135056bd0897"/>
              <w:id w:val="2515621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广西柳州新锐文化传媒有限责任公司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124,589.43</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344,234.08</w:t>
                    </w:r>
                  </w:p>
                </w:tc>
              </w:tr>
            </w:sdtContent>
          </w:sdt>
          <w:sdt>
            <w:sdtPr>
              <w:rPr>
                <w:rFonts w:hint="eastAsia"/>
                <w:sz w:val="18"/>
                <w:szCs w:val="18"/>
              </w:rPr>
              <w:alias w:val="上市公司应付关联方款项明细"/>
              <w:tag w:val="_GBC_bb3d19486f2b460b856a135056bd0897"/>
              <w:id w:val="2515621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柳州锐源鹏节能环保科技有限公司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6.01</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6.01</w:t>
                    </w:r>
                  </w:p>
                </w:tc>
              </w:tr>
            </w:sdtContent>
          </w:sdt>
          <w:sdt>
            <w:sdtPr>
              <w:rPr>
                <w:rFonts w:hint="eastAsia"/>
                <w:sz w:val="18"/>
                <w:szCs w:val="18"/>
              </w:rPr>
              <w:alias w:val="上市公司应付关联方款项明细"/>
              <w:tag w:val="_GBC_bb3d19486f2b460b856a135056bd0897"/>
              <w:id w:val="2515622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柳州市多元贸易有限责任公司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2,252,425.92</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2,323,959.77</w:t>
                    </w:r>
                  </w:p>
                </w:tc>
              </w:tr>
            </w:sdtContent>
          </w:sdt>
          <w:sdt>
            <w:sdtPr>
              <w:rPr>
                <w:rFonts w:hint="eastAsia"/>
                <w:sz w:val="18"/>
                <w:szCs w:val="18"/>
              </w:rPr>
              <w:alias w:val="上市公司应付关联方款项明细"/>
              <w:tag w:val="_GBC_bb3d19486f2b460b856a135056bd0897"/>
              <w:id w:val="2515622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柳州市曼凯亚科技有限责任公司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296,784.37</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356,457.38</w:t>
                    </w:r>
                  </w:p>
                </w:tc>
              </w:tr>
            </w:sdtContent>
          </w:sdt>
          <w:sdt>
            <w:sdtPr>
              <w:rPr>
                <w:rFonts w:hint="eastAsia"/>
                <w:sz w:val="18"/>
                <w:szCs w:val="18"/>
              </w:rPr>
              <w:alias w:val="上市公司应付关联方款项明细"/>
              <w:tag w:val="_GBC_bb3d19486f2b460b856a135056bd0897"/>
              <w:id w:val="2515622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柳州市盛鹏源环保科技有限公司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977,813.38</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900,267.65</w:t>
                    </w:r>
                  </w:p>
                </w:tc>
              </w:tr>
            </w:sdtContent>
          </w:sdt>
          <w:sdt>
            <w:sdtPr>
              <w:rPr>
                <w:rFonts w:hint="eastAsia"/>
                <w:sz w:val="18"/>
                <w:szCs w:val="18"/>
              </w:rPr>
              <w:alias w:val="上市公司应付关联方款项明细"/>
              <w:tag w:val="_GBC_bb3d19486f2b460b856a135056bd0897"/>
              <w:id w:val="2515622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柳州兴远劳务有限公司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1,291,658.40</w:t>
                    </w:r>
                  </w:p>
                </w:tc>
              </w:tr>
            </w:sdtContent>
          </w:sdt>
          <w:sdt>
            <w:sdtPr>
              <w:rPr>
                <w:rFonts w:hint="eastAsia"/>
                <w:sz w:val="18"/>
                <w:szCs w:val="18"/>
              </w:rPr>
              <w:alias w:val="上市公司应付关联方款项明细"/>
              <w:tag w:val="_GBC_bb3d19486f2b460b856a135056bd0897"/>
              <w:id w:val="2515622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柳州市惕艾惕冶金余热发电有限公司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35,524.24</w:t>
                    </w:r>
                  </w:p>
                </w:tc>
              </w:tr>
            </w:sdtContent>
          </w:sdt>
          <w:sdt>
            <w:sdtPr>
              <w:rPr>
                <w:rFonts w:hint="eastAsia"/>
                <w:sz w:val="18"/>
                <w:szCs w:val="18"/>
              </w:rPr>
              <w:alias w:val="上市公司应付关联方款项明细"/>
              <w:tag w:val="_GBC_bb3d19486f2b460b856a135056bd0897"/>
              <w:id w:val="2515622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柳州特久恒机械设备有限公司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13,888.01</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13,888.01</w:t>
                    </w:r>
                  </w:p>
                </w:tc>
              </w:tr>
            </w:sdtContent>
          </w:sdt>
          <w:sdt>
            <w:sdtPr>
              <w:rPr>
                <w:rFonts w:hint="eastAsia"/>
                <w:sz w:val="18"/>
                <w:szCs w:val="18"/>
              </w:rPr>
              <w:alias w:val="上市公司应付关联方款项明细"/>
              <w:tag w:val="_GBC_bb3d19486f2b460b856a135056bd0897"/>
              <w:id w:val="2515622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广西柳钢国际贸易有限公司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252,551,647.82</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34,880,110.94</w:t>
                    </w:r>
                  </w:p>
                </w:tc>
              </w:tr>
            </w:sdtContent>
          </w:sdt>
          <w:sdt>
            <w:sdtPr>
              <w:rPr>
                <w:rFonts w:hint="eastAsia"/>
                <w:sz w:val="18"/>
                <w:szCs w:val="18"/>
              </w:rPr>
              <w:alias w:val="上市公司应付关联方款项明细"/>
              <w:tag w:val="_GBC_bb3d19486f2b460b856a135056bd0897"/>
              <w:id w:val="2515622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广西柳钢资产经营管理有限公司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48,623,654.60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20,002,677.45</w:t>
                    </w:r>
                  </w:p>
                </w:tc>
              </w:tr>
            </w:sdtContent>
          </w:sdt>
          <w:sdt>
            <w:sdtPr>
              <w:rPr>
                <w:rFonts w:hint="eastAsia"/>
                <w:sz w:val="18"/>
                <w:szCs w:val="18"/>
              </w:rPr>
              <w:alias w:val="上市公司应付关联方款项明细"/>
              <w:tag w:val="_GBC_bb3d19486f2b460b856a135056bd0897"/>
              <w:id w:val="2515622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广西华锐钢铁工程设计咨询有限责任公司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1,013,813.50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3,263,500.00</w:t>
                    </w:r>
                  </w:p>
                </w:tc>
              </w:tr>
            </w:sdtContent>
          </w:sdt>
          <w:sdt>
            <w:sdtPr>
              <w:rPr>
                <w:rFonts w:hint="eastAsia"/>
                <w:sz w:val="18"/>
                <w:szCs w:val="18"/>
              </w:rPr>
              <w:alias w:val="上市公司应付关联方款项明细"/>
              <w:tag w:val="_GBC_bb3d19486f2b460b856a135056bd0897"/>
              <w:id w:val="2515622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柳州市红星园艺场</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221,783.00</w:t>
                    </w:r>
                  </w:p>
                </w:tc>
              </w:tr>
            </w:sdtContent>
          </w:sdt>
          <w:sdt>
            <w:sdtPr>
              <w:rPr>
                <w:rFonts w:hint="eastAsia"/>
                <w:sz w:val="18"/>
                <w:szCs w:val="18"/>
              </w:rPr>
              <w:alias w:val="上市公司应付关联方款项明细"/>
              <w:tag w:val="_GBC_bb3d19486f2b460b856a135056bd0897"/>
              <w:id w:val="2515623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广西柳钢环保股份有限公司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11,564,248.46</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14,673,143.71</w:t>
                    </w:r>
                  </w:p>
                </w:tc>
              </w:tr>
            </w:sdtContent>
          </w:sdt>
          <w:sdt>
            <w:sdtPr>
              <w:rPr>
                <w:rFonts w:hint="eastAsia"/>
                <w:sz w:val="18"/>
                <w:szCs w:val="18"/>
              </w:rPr>
              <w:alias w:val="上市公司应付关联方款项明细"/>
              <w:tag w:val="_GBC_bb3d19486f2b460b856a135056bd0897"/>
              <w:id w:val="2515623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十一冶建设集团有限责任公司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37,860.00</w:t>
                    </w:r>
                  </w:p>
                </w:tc>
              </w:tr>
            </w:sdtContent>
          </w:sdt>
          <w:sdt>
            <w:sdtPr>
              <w:rPr>
                <w:rFonts w:hint="eastAsia"/>
                <w:sz w:val="18"/>
                <w:szCs w:val="18"/>
              </w:rPr>
              <w:alias w:val="上市公司应付关联方款项明细"/>
              <w:tag w:val="_GBC_bb3d19486f2b460b856a135056bd0897"/>
              <w:id w:val="2515623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广西柳钢物流有限责任公司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2,279,606.98</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3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柳州市钢花工程建设监理有限责任公司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640,500.00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3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柳州市惕艾惕冶金余热发电有限公司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47,588.57</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3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十一冶建设集团有限责任公司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37,860.00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3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志港实业有限公司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1,271,557,746.37</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3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柳州市强实科技有限公司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900</w:t>
                    </w:r>
                  </w:p>
                </w:tc>
              </w:tr>
            </w:sdtContent>
          </w:sdt>
          <w:sdt>
            <w:sdtPr>
              <w:rPr>
                <w:rFonts w:hint="eastAsia"/>
                <w:sz w:val="18"/>
                <w:szCs w:val="18"/>
              </w:rPr>
              <w:alias w:val="上市公司应付关联方款项明细"/>
              <w:tag w:val="_GBC_bb3d19486f2b460b856a135056bd0897"/>
              <w:id w:val="2515623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柳州市瑞中运钢材储运有限公司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1,261,023.04</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1,261,023.04</w:t>
                    </w:r>
                  </w:p>
                </w:tc>
              </w:tr>
            </w:sdtContent>
          </w:sdt>
          <w:sdt>
            <w:sdtPr>
              <w:rPr>
                <w:rFonts w:hint="eastAsia"/>
                <w:sz w:val="18"/>
                <w:szCs w:val="18"/>
              </w:rPr>
              <w:alias w:val="上市公司应付关联方款项明细"/>
              <w:tag w:val="_GBC_bb3d19486f2b460b856a135056bd0897"/>
              <w:id w:val="2515623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1,400,188.16</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4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十一冶建设集团有限责任公司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330,966.05</w:t>
                    </w:r>
                  </w:p>
                </w:tc>
              </w:tr>
            </w:sdtContent>
          </w:sdt>
          <w:sdt>
            <w:sdtPr>
              <w:rPr>
                <w:rFonts w:hint="eastAsia"/>
                <w:sz w:val="18"/>
                <w:szCs w:val="18"/>
              </w:rPr>
              <w:alias w:val="上市公司应付关联方款项明细"/>
              <w:tag w:val="_GBC_bb3d19486f2b460b856a135056bd0897"/>
              <w:id w:val="2515624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广西柳钢资产经营管理有限公司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700</w:t>
                    </w:r>
                  </w:p>
                </w:tc>
              </w:tr>
            </w:sdtContent>
          </w:sdt>
          <w:sdt>
            <w:sdtPr>
              <w:rPr>
                <w:rFonts w:hint="eastAsia"/>
                <w:sz w:val="18"/>
                <w:szCs w:val="18"/>
              </w:rPr>
              <w:alias w:val="上市公司应付关联方款项明细"/>
              <w:tag w:val="_GBC_bb3d19486f2b460b856a135056bd0897"/>
              <w:id w:val="2515624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广西柳钢国际贸易有限公司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1,000.00</w:t>
                    </w:r>
                  </w:p>
                </w:tc>
              </w:tr>
            </w:sdtContent>
          </w:sdt>
          <w:sdt>
            <w:sdtPr>
              <w:rPr>
                <w:rFonts w:hint="eastAsia"/>
                <w:sz w:val="18"/>
                <w:szCs w:val="18"/>
              </w:rPr>
              <w:alias w:val="上市公司应付关联方款项明细"/>
              <w:tag w:val="_GBC_bb3d19486f2b460b856a135056bd0897"/>
              <w:id w:val="2515624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1,089,345.40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7,000.00</w:t>
                    </w:r>
                  </w:p>
                </w:tc>
              </w:tr>
            </w:sdtContent>
          </w:sdt>
          <w:sdt>
            <w:sdtPr>
              <w:rPr>
                <w:rFonts w:hint="eastAsia"/>
                <w:sz w:val="18"/>
                <w:szCs w:val="18"/>
              </w:rPr>
              <w:alias w:val="上市公司应付关联方款项明细"/>
              <w:tag w:val="_GBC_bb3d19486f2b460b856a135056bd0897"/>
              <w:id w:val="2515624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柳州兴钢建筑安装工程处</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986,178.37</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960,030.00</w:t>
                    </w:r>
                  </w:p>
                </w:tc>
              </w:tr>
            </w:sdtContent>
          </w:sdt>
          <w:sdt>
            <w:sdtPr>
              <w:rPr>
                <w:rFonts w:hint="eastAsia"/>
                <w:sz w:val="18"/>
                <w:szCs w:val="18"/>
              </w:rPr>
              <w:alias w:val="上市公司应付关联方款项明细"/>
              <w:tag w:val="_GBC_bb3d19486f2b460b856a135056bd0897"/>
              <w:id w:val="2515624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柳州锐源鹏节能环保科技有限公司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50,000.00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50,000.00</w:t>
                    </w:r>
                  </w:p>
                </w:tc>
              </w:tr>
            </w:sdtContent>
          </w:sdt>
          <w:sdt>
            <w:sdtPr>
              <w:rPr>
                <w:rFonts w:hint="eastAsia"/>
                <w:sz w:val="18"/>
                <w:szCs w:val="18"/>
              </w:rPr>
              <w:alias w:val="上市公司应付关联方款项明细"/>
              <w:tag w:val="_GBC_bb3d19486f2b460b856a135056bd0897"/>
              <w:id w:val="2515624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柳州市畅通运货运服务有限公司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10,156,141.78</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10,156,141.78</w:t>
                    </w:r>
                  </w:p>
                </w:tc>
              </w:tr>
            </w:sdtContent>
          </w:sdt>
          <w:sdt>
            <w:sdtPr>
              <w:rPr>
                <w:rFonts w:hint="eastAsia"/>
                <w:sz w:val="18"/>
                <w:szCs w:val="18"/>
              </w:rPr>
              <w:alias w:val="上市公司应付关联方款项明细"/>
              <w:tag w:val="_GBC_bb3d19486f2b460b856a135056bd0897"/>
              <w:id w:val="2515624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柳州市曼凯亚科技有限责任公司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462,500.00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10,000.00</w:t>
                    </w:r>
                  </w:p>
                </w:tc>
              </w:tr>
            </w:sdtContent>
          </w:sdt>
          <w:sdt>
            <w:sdtPr>
              <w:rPr>
                <w:rFonts w:hint="eastAsia"/>
                <w:sz w:val="18"/>
                <w:szCs w:val="18"/>
              </w:rPr>
              <w:alias w:val="上市公司应付关联方款项明细"/>
              <w:tag w:val="_GBC_bb3d19486f2b460b856a135056bd0897"/>
              <w:id w:val="2515624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柳州市盛鹏源环保科技有限公司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528,000.00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528,000.00</w:t>
                    </w:r>
                  </w:p>
                </w:tc>
              </w:tr>
            </w:sdtContent>
          </w:sdt>
          <w:sdt>
            <w:sdtPr>
              <w:rPr>
                <w:rFonts w:hint="eastAsia"/>
                <w:sz w:val="18"/>
                <w:szCs w:val="18"/>
              </w:rPr>
              <w:alias w:val="上市公司应付关联方款项明细"/>
              <w:tag w:val="_GBC_bb3d19486f2b460b856a135056bd0897"/>
              <w:id w:val="2515624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柳州市新游化工有限责任公司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3,000</w:t>
                    </w:r>
                  </w:p>
                </w:tc>
              </w:tr>
            </w:sdtContent>
          </w:sdt>
          <w:sdt>
            <w:sdtPr>
              <w:rPr>
                <w:rFonts w:hint="eastAsia"/>
                <w:sz w:val="18"/>
                <w:szCs w:val="18"/>
              </w:rPr>
              <w:alias w:val="上市公司应付关联方款项明细"/>
              <w:tag w:val="_GBC_bb3d19486f2b460b856a135056bd0897"/>
              <w:id w:val="2515625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广西柳钢国际贸易有限公司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1,591,500.00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1,587,000.00</w:t>
                    </w:r>
                  </w:p>
                </w:tc>
              </w:tr>
            </w:sdtContent>
          </w:sdt>
          <w:sdt>
            <w:sdtPr>
              <w:rPr>
                <w:rFonts w:hint="eastAsia"/>
                <w:sz w:val="18"/>
                <w:szCs w:val="18"/>
              </w:rPr>
              <w:alias w:val="上市公司应付关联方款项明细"/>
              <w:tag w:val="_GBC_bb3d19486f2b460b856a135056bd0897"/>
              <w:id w:val="2515625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广西柳州新锐文化传媒有限责任公司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1,978.00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5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柳州市运天运运输有限公司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42,477.56</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39,000.00</w:t>
                    </w:r>
                  </w:p>
                </w:tc>
              </w:tr>
            </w:sdtContent>
          </w:sdt>
          <w:sdt>
            <w:sdtPr>
              <w:rPr>
                <w:rFonts w:hint="eastAsia"/>
                <w:sz w:val="18"/>
                <w:szCs w:val="18"/>
              </w:rPr>
              <w:alias w:val="上市公司应付关联方款项明细"/>
              <w:tag w:val="_GBC_bb3d19486f2b460b856a135056bd0897"/>
              <w:id w:val="2515625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广西华锐钢铁工程设计咨询有限责任公司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810,000.00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r>
            </w:sdtContent>
          </w:sdt>
          <w:sdt>
            <w:sdtPr>
              <w:rPr>
                <w:rFonts w:hint="eastAsia"/>
                <w:sz w:val="18"/>
                <w:szCs w:val="18"/>
              </w:rPr>
              <w:alias w:val="上市公司应付关联方款项明细"/>
              <w:tag w:val="_GBC_bb3d19486f2b460b856a135056bd0897"/>
              <w:id w:val="2515625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广西柳钢资产经营管理有限公司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1,000,000.00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1,000,000.00</w:t>
                    </w:r>
                  </w:p>
                </w:tc>
              </w:tr>
            </w:sdtContent>
          </w:sdt>
          <w:sdt>
            <w:sdtPr>
              <w:rPr>
                <w:rFonts w:hint="eastAsia"/>
                <w:sz w:val="18"/>
                <w:szCs w:val="18"/>
              </w:rPr>
              <w:alias w:val="上市公司应付关联方款项明细"/>
              <w:tag w:val="_GBC_bb3d19486f2b460b856a135056bd0897"/>
              <w:id w:val="2515625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柳州市红星园艺场</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184,300.00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181,000.00</w:t>
                    </w:r>
                  </w:p>
                </w:tc>
              </w:tr>
            </w:sdtContent>
          </w:sdt>
          <w:sdt>
            <w:sdtPr>
              <w:rPr>
                <w:rFonts w:hint="eastAsia"/>
                <w:sz w:val="18"/>
                <w:szCs w:val="18"/>
              </w:rPr>
              <w:alias w:val="上市公司应付关联方款项明细"/>
              <w:tag w:val="_GBC_bb3d19486f2b460b856a135056bd0897"/>
              <w:id w:val="2515625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十一冶建设集团有限责任公司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296,325.51</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338,112.64</w:t>
                    </w:r>
                  </w:p>
                </w:tc>
              </w:tr>
            </w:sdtContent>
          </w:sdt>
          <w:sdt>
            <w:sdtPr>
              <w:rPr>
                <w:rFonts w:hint="eastAsia"/>
                <w:sz w:val="18"/>
                <w:szCs w:val="18"/>
              </w:rPr>
              <w:alias w:val="上市公司应付关联方款项明细"/>
              <w:tag w:val="_GBC_bb3d19486f2b460b856a135056bd0897"/>
              <w:id w:val="2515625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柳州兴远劳务有限公司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2,534.30</w:t>
                    </w:r>
                  </w:p>
                </w:tc>
              </w:tr>
            </w:sdtContent>
          </w:sdt>
          <w:sdt>
            <w:sdtPr>
              <w:rPr>
                <w:rFonts w:hint="eastAsia"/>
                <w:sz w:val="18"/>
                <w:szCs w:val="18"/>
              </w:rPr>
              <w:alias w:val="上市公司应付关联方款项明细"/>
              <w:tag w:val="_GBC_bb3d19486f2b460b856a135056bd0897"/>
              <w:id w:val="2515625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桂林市柳钢刚茂升贸易有限公司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500,000.00</w:t>
                    </w:r>
                  </w:p>
                </w:tc>
              </w:tr>
            </w:sdtContent>
          </w:sdt>
          <w:sdt>
            <w:sdtPr>
              <w:rPr>
                <w:rFonts w:hint="eastAsia"/>
                <w:sz w:val="18"/>
                <w:szCs w:val="18"/>
              </w:rPr>
              <w:alias w:val="上市公司应付关联方款项明细"/>
              <w:tag w:val="_GBC_bb3d19486f2b460b856a135056bd0897"/>
              <w:id w:val="2515625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2" w:type="dxa"/>
                    <w:tcBorders>
                      <w:top w:val="single" w:color="auto" w:sz="4" w:space="0"/>
                      <w:left w:val="single" w:color="auto" w:sz="4" w:space="0"/>
                      <w:bottom w:val="single" w:color="auto" w:sz="4" w:space="0"/>
                      <w:right w:val="single" w:color="auto" w:sz="4" w:space="0"/>
                    </w:tcBorders>
                    <w:vAlign w:val="center"/>
                  </w:tcPr>
                  <w:p>
                    <w:pPr>
                      <w:pStyle w:val="76"/>
                      <w:autoSpaceDE w:val="0"/>
                      <w:autoSpaceDN w:val="0"/>
                      <w:adjustRightInd w:val="0"/>
                      <w:rPr>
                        <w:sz w:val="18"/>
                        <w:szCs w:val="18"/>
                      </w:rPr>
                    </w:pPr>
                    <w:r>
                      <w:rPr>
                        <w:sz w:val="18"/>
                        <w:szCs w:val="18"/>
                      </w:rPr>
                      <w:t>应付票据</w:t>
                    </w:r>
                  </w:p>
                </w:tc>
                <w:tc>
                  <w:tcPr>
                    <w:tcW w:w="382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rPr>
                        <w:sz w:val="18"/>
                        <w:szCs w:val="18"/>
                      </w:rPr>
                    </w:pPr>
                    <w:r>
                      <w:rPr>
                        <w:sz w:val="18"/>
                        <w:szCs w:val="18"/>
                      </w:rPr>
                      <w:t>广西柳州钢铁集团有限公司</w:t>
                    </w:r>
                  </w:p>
                </w:tc>
                <w:tc>
                  <w:tcPr>
                    <w:tcW w:w="1985"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160,000,000.00</w:t>
                    </w:r>
                  </w:p>
                </w:tc>
                <w:tc>
                  <w:tcPr>
                    <w:tcW w:w="2058" w:type="dxa"/>
                    <w:tcBorders>
                      <w:top w:val="single" w:color="auto" w:sz="4" w:space="0"/>
                      <w:left w:val="single" w:color="auto" w:sz="4" w:space="0"/>
                      <w:bottom w:val="single" w:color="auto" w:sz="4" w:space="0"/>
                      <w:right w:val="single" w:color="auto" w:sz="4" w:space="0"/>
                    </w:tcBorders>
                  </w:tcPr>
                  <w:p>
                    <w:pPr>
                      <w:pStyle w:val="76"/>
                      <w:autoSpaceDE w:val="0"/>
                      <w:autoSpaceDN w:val="0"/>
                      <w:adjustRightInd w:val="0"/>
                      <w:jc w:val="right"/>
                      <w:rPr>
                        <w:sz w:val="18"/>
                        <w:szCs w:val="18"/>
                      </w:rPr>
                    </w:pPr>
                    <w:r>
                      <w:rPr>
                        <w:sz w:val="18"/>
                        <w:szCs w:val="18"/>
                      </w:rPr>
                      <w:t>382,850,000.00</w:t>
                    </w:r>
                  </w:p>
                </w:tc>
              </w:tr>
            </w:sdtContent>
          </w:sdt>
        </w:tbl>
        <w:p>
          <w:pPr>
            <w:pStyle w:val="76"/>
          </w:pPr>
        </w:p>
        <w:p>
          <w:pPr>
            <w:pStyle w:val="76"/>
            <w:rPr>
              <w:rFonts w:ascii="仿宋_GB2312" w:eastAsia="仿宋_GB2312"/>
              <w:szCs w:val="21"/>
            </w:rPr>
          </w:pPr>
        </w:p>
      </w:sdtContent>
    </w:sdt>
    <w:sdt>
      <w:sdtPr>
        <w:rPr>
          <w:rFonts w:hint="eastAsia" w:ascii="宋体" w:hAnsi="宋体" w:cs="宋体"/>
          <w:b w:val="0"/>
          <w:bCs w:val="0"/>
          <w:kern w:val="0"/>
          <w:szCs w:val="24"/>
        </w:rPr>
        <w:alias w:val="模块:关联方承诺"/>
        <w:tag w:val="_GBC_945a5f0033de4c9786bb7245eedc88e3"/>
        <w:id w:val="25156263"/>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79"/>
            <w:numPr>
              <w:ilvl w:val="0"/>
              <w:numId w:val="82"/>
            </w:numPr>
            <w:rPr>
              <w:rFonts w:ascii="宋体" w:hAnsi="宋体" w:cs="Arial"/>
              <w:szCs w:val="21"/>
            </w:rPr>
          </w:pPr>
          <w:r>
            <w:rPr>
              <w:rFonts w:hint="eastAsia"/>
            </w:rPr>
            <w:t>关联方</w:t>
          </w:r>
          <w:r>
            <w:rPr>
              <w:rFonts w:hint="eastAsia" w:ascii="宋体" w:hAnsi="宋体" w:cs="Arial"/>
              <w:szCs w:val="21"/>
            </w:rPr>
            <w:t>承诺</w:t>
          </w:r>
        </w:p>
        <w:sdt>
          <w:sdtPr>
            <w:alias w:val="是否适用：关联方承诺[双击切换]"/>
            <w:tag w:val="_GBC_b906cacab2e94825966fa70e345656b5"/>
            <w:id w:val="2515626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关联方相关承诺"/>
            <w:tag w:val="_GBC_07be2fbf22ab46319cf1aeac8c65a417"/>
            <w:id w:val="25156262"/>
            <w:lock w:val="sdtLocked"/>
            <w:placeholder>
              <w:docPart w:val="GBC22222222222222222222222222222"/>
            </w:placeholder>
          </w:sdtPr>
          <w:sdtEndPr>
            <w:rPr>
              <w:szCs w:val="21"/>
            </w:rPr>
          </w:sdtEndPr>
          <w:sdtContent>
            <w:p>
              <w:pPr>
                <w:pStyle w:val="76"/>
                <w:rPr>
                  <w:szCs w:val="21"/>
                </w:rPr>
              </w:pPr>
              <w:r>
                <w:rPr>
                  <w:rFonts w:hint="eastAsia"/>
                  <w:szCs w:val="21"/>
                </w:rPr>
                <w:t>关于避免同业竞争的承诺：</w:t>
              </w:r>
            </w:p>
            <w:p>
              <w:pPr>
                <w:pStyle w:val="76"/>
                <w:rPr>
                  <w:szCs w:val="21"/>
                </w:rPr>
              </w:pPr>
              <w:r>
                <w:rPr>
                  <w:rFonts w:hint="eastAsia"/>
                  <w:szCs w:val="21"/>
                </w:rPr>
                <w:t>（</w:t>
              </w:r>
              <w:r>
                <w:rPr>
                  <w:szCs w:val="21"/>
                </w:rPr>
                <w:t>1）本公司控股股东广西柳州钢铁集团有限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pPr>
                <w:pStyle w:val="76"/>
                <w:rPr>
                  <w:szCs w:val="21"/>
                </w:rPr>
              </w:pPr>
              <w:r>
                <w:rPr>
                  <w:rFonts w:hint="eastAsia"/>
                  <w:szCs w:val="21"/>
                </w:rPr>
                <w:t>（</w:t>
              </w:r>
              <w:r>
                <w:rPr>
                  <w:szCs w:val="21"/>
                </w:rP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sdtContent>
        </w:sdt>
        <w:p>
          <w:pPr>
            <w:pStyle w:val="76"/>
            <w:tabs>
              <w:tab w:val="left" w:pos="1134"/>
            </w:tabs>
            <w:rPr>
              <w:rFonts w:ascii="Cambria" w:hAnsi="Cambria" w:cs="Cambria" w:eastAsiaTheme="minorEastAsia"/>
              <w:sz w:val="20"/>
              <w:szCs w:val="20"/>
            </w:rPr>
          </w:pPr>
        </w:p>
      </w:sdtContent>
    </w:sdt>
    <w:sdt>
      <w:sdtPr>
        <w:rPr>
          <w:rFonts w:hint="eastAsia" w:ascii="宋体" w:hAnsi="宋体" w:cs="Arial"/>
          <w:b w:val="0"/>
          <w:bCs w:val="0"/>
          <w:kern w:val="0"/>
          <w:szCs w:val="21"/>
        </w:rPr>
        <w:alias w:val="模块:关联方及关联情况的其他说明"/>
        <w:tag w:val="_GBC_f467d909644e4ab6b08e0abfbea78eb8"/>
        <w:id w:val="25156265"/>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79"/>
            <w:numPr>
              <w:ilvl w:val="0"/>
              <w:numId w:val="82"/>
            </w:numPr>
            <w:rPr>
              <w:rFonts w:ascii="宋体" w:hAnsi="宋体" w:cs="Arial"/>
              <w:szCs w:val="21"/>
            </w:rPr>
          </w:pPr>
          <w:r>
            <w:rPr>
              <w:rFonts w:hint="eastAsia" w:ascii="宋体" w:hAnsi="宋体" w:cs="Arial"/>
              <w:szCs w:val="21"/>
            </w:rPr>
            <w:t>其他</w:t>
          </w:r>
        </w:p>
        <w:sdt>
          <w:sdtPr>
            <w:alias w:val="是否适用：关联方及关联情况的其他说明[双击切换]"/>
            <w:tag w:val="_GBC_87161343db8b4a0b9e041c62c0df5e87"/>
            <w:id w:val="25156264"/>
            <w:lock w:val="sdtContentLocked"/>
            <w:placeholder>
              <w:docPart w:val="GBC22222222222222222222222222222"/>
            </w:placeholder>
          </w:sdtPr>
          <w:sdtContent>
            <w:p>
              <w:pPr>
                <w:pStyle w:val="76"/>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8"/>
        <w:numPr>
          <w:ilvl w:val="0"/>
          <w:numId w:val="34"/>
        </w:numPr>
      </w:pPr>
      <w:r>
        <w:rPr>
          <w:rFonts w:hint="eastAsia"/>
        </w:rPr>
        <w:t>股份支付</w:t>
      </w:r>
    </w:p>
    <w:sdt>
      <w:sdtPr>
        <w:rPr>
          <w:rFonts w:hint="eastAsia" w:ascii="宋体" w:hAnsi="宋体" w:cs="宋体"/>
          <w:b w:val="0"/>
          <w:bCs w:val="0"/>
          <w:kern w:val="0"/>
          <w:szCs w:val="24"/>
        </w:rPr>
        <w:alias w:val="模块:股份支付总体情况"/>
        <w:tag w:val="_GBC_07972b1f6b5c4904b730c6b344e432ee"/>
        <w:id w:val="25156267"/>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79"/>
            <w:numPr>
              <w:ilvl w:val="0"/>
              <w:numId w:val="85"/>
            </w:numPr>
          </w:pPr>
          <w:r>
            <w:rPr>
              <w:rFonts w:hint="eastAsia"/>
            </w:rPr>
            <w:t>股份支付总体情况</w:t>
          </w:r>
        </w:p>
        <w:sdt>
          <w:sdtPr>
            <w:alias w:val="是否适用：股份支付总体情况[双击切换]"/>
            <w:tag w:val="_GBC_7d36569622d040fb870ad46d99420cd2"/>
            <w:id w:val="2515626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sdt>
      <w:sdtPr>
        <w:rPr>
          <w:rFonts w:hint="eastAsia" w:ascii="宋体" w:hAnsi="宋体" w:cs="宋体"/>
          <w:b w:val="0"/>
          <w:bCs w:val="0"/>
          <w:kern w:val="0"/>
          <w:szCs w:val="24"/>
        </w:rPr>
        <w:alias w:val="模块:以权益结算的股份支付情况"/>
        <w:tag w:val="_GBC_a6f090c303de426580c058a0a463c95f"/>
        <w:id w:val="25156269"/>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79"/>
            <w:numPr>
              <w:ilvl w:val="0"/>
              <w:numId w:val="85"/>
            </w:numPr>
          </w:pPr>
          <w:r>
            <w:rPr>
              <w:rFonts w:hint="eastAsia"/>
            </w:rPr>
            <w:t>以权益结算的股份支付情况</w:t>
          </w:r>
        </w:p>
        <w:sdt>
          <w:sdtPr>
            <w:alias w:val="是否适用：以权益结算的股份支付情况[双击切换]"/>
            <w:tag w:val="_GBC_5d901e3b36be4331aac030c8e4b9b1a5"/>
            <w:id w:val="251562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4"/>
        </w:rPr>
        <w:alias w:val="模块:以现金结算的股份支付情况"/>
        <w:tag w:val="_GBC_e8a0c7296300463994744e877be96129"/>
        <w:id w:val="25156271"/>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79"/>
            <w:numPr>
              <w:ilvl w:val="0"/>
              <w:numId w:val="85"/>
            </w:numPr>
          </w:pPr>
          <w:r>
            <w:rPr>
              <w:rFonts w:hint="eastAsia"/>
            </w:rPr>
            <w:t>以现金结算的股份支付情况</w:t>
          </w:r>
        </w:p>
        <w:sdt>
          <w:sdtPr>
            <w:alias w:val="是否适用：以现金结算的股份支付情况[双击切换]"/>
            <w:tag w:val="_GBC_aa134f611909486bb3a2d6258058f88d"/>
            <w:id w:val="2515627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4"/>
        </w:rPr>
        <w:alias w:val="模块:股份支付的修改、终止情况"/>
        <w:tag w:val="_GBC_ae153862caea4ff5a57470b6f594f167"/>
        <w:id w:val="25156273"/>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79"/>
            <w:numPr>
              <w:ilvl w:val="0"/>
              <w:numId w:val="85"/>
            </w:numPr>
          </w:pPr>
          <w:r>
            <w:rPr>
              <w:rFonts w:hint="eastAsia"/>
            </w:rPr>
            <w:t>股份支付的修改、终止情况</w:t>
          </w:r>
        </w:p>
        <w:sdt>
          <w:sdtPr>
            <w:alias w:val="是否适用：股份支付的修改、终止情况[双击切换]"/>
            <w:tag w:val="_GBC_794cdee9be3b4b478fa83b914d22ea66"/>
            <w:id w:val="25156272"/>
            <w:lock w:val="sdtContentLocked"/>
            <w:placeholder>
              <w:docPart w:val="GBC22222222222222222222222222222"/>
            </w:placeholder>
          </w:sdtPr>
          <w:sdtContent>
            <w:p>
              <w:pPr>
                <w:pStyle w:val="76"/>
                <w:rPr>
                  <w:rFonts w:asciiTheme="minorHAnsi" w:hAnsiTheme="minorHAnsi" w:eastAsiaTheme="minorEastAsia"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ind w:firstLine="210" w:firstLineChars="100"/>
        <w:rPr>
          <w:szCs w:val="21"/>
        </w:rPr>
      </w:pPr>
    </w:p>
    <w:sdt>
      <w:sdtPr>
        <w:rPr>
          <w:rFonts w:ascii="宋体" w:hAnsi="宋体" w:cs="宋体"/>
          <w:b w:val="0"/>
          <w:bCs w:val="0"/>
          <w:kern w:val="0"/>
          <w:szCs w:val="21"/>
        </w:rPr>
        <w:alias w:val="模块:股份支付的其他情况说明"/>
        <w:tag w:val="_GBC_d9554f13d811474eab6fe8ab0c5c8811"/>
        <w:id w:val="25156276"/>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85"/>
            </w:numPr>
            <w:rPr>
              <w:szCs w:val="21"/>
            </w:rPr>
          </w:pPr>
          <w:r>
            <w:rPr>
              <w:rFonts w:hint="eastAsia"/>
              <w:szCs w:val="21"/>
            </w:rPr>
            <w:t>其他</w:t>
          </w:r>
        </w:p>
        <w:sdt>
          <w:sdtPr>
            <w:alias w:val="是否适用：股份支付的其他情况说明[双击切换]"/>
            <w:tag w:val="_GBC_b8be1a19715949cab94dc673580d61a2"/>
            <w:id w:val="2515627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8"/>
        <w:numPr>
          <w:ilvl w:val="0"/>
          <w:numId w:val="34"/>
        </w:numPr>
      </w:pPr>
      <w:r>
        <w:rPr>
          <w:rFonts w:hint="eastAsia"/>
        </w:rPr>
        <w:t>承诺及或有事项</w:t>
      </w:r>
    </w:p>
    <w:p>
      <w:pPr>
        <w:pStyle w:val="79"/>
        <w:numPr>
          <w:ilvl w:val="0"/>
          <w:numId w:val="86"/>
        </w:numPr>
        <w:rPr>
          <w:rFonts w:ascii="宋体" w:hAnsi="宋体"/>
        </w:rPr>
      </w:pPr>
      <w:r>
        <w:rPr>
          <w:rFonts w:hint="eastAsia" w:ascii="宋体" w:hAnsi="宋体"/>
        </w:rPr>
        <w:t>重要承诺事项</w:t>
      </w:r>
    </w:p>
    <w:sdt>
      <w:sdtPr>
        <w:alias w:val="是否适用：重要承诺事项[双击切换]"/>
        <w:tag w:val="_GBC_3ee02d2bff5e4dd69f75cc6148bdda8f"/>
        <w:id w:val="2515627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9"/>
        <w:numPr>
          <w:ilvl w:val="0"/>
          <w:numId w:val="86"/>
        </w:numPr>
      </w:pPr>
      <w:r>
        <w:rPr>
          <w:rFonts w:hint="eastAsia"/>
        </w:rPr>
        <w:t>或有事项</w:t>
      </w:r>
    </w:p>
    <w:sdt>
      <w:sdtPr>
        <w:rPr>
          <w:rFonts w:hint="eastAsia" w:ascii="宋体" w:hAnsi="宋体" w:cs="宋体"/>
          <w:b w:val="0"/>
          <w:bCs w:val="0"/>
          <w:kern w:val="0"/>
          <w:szCs w:val="24"/>
        </w:rPr>
        <w:alias w:val="模块:资产负债表日存在的或有事项"/>
        <w:tag w:val="_GBC_c667d796bd114ba58f4592903a5601f3"/>
        <w:id w:val="25156280"/>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80"/>
            <w:numPr>
              <w:ilvl w:val="0"/>
              <w:numId w:val="87"/>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2515627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9aacda4c45eb44bcb0d1f17e53741a1f"/>
            <w:id w:val="25156279"/>
            <w:lock w:val="sdtLocked"/>
            <w:placeholder>
              <w:docPart w:val="GBC22222222222222222222222222222"/>
            </w:placeholder>
          </w:sdtPr>
          <w:sdtContent>
            <w:p>
              <w:pPr>
                <w:pStyle w:val="76"/>
              </w:pPr>
              <w:r>
                <w:rPr>
                  <w:rFonts w:hint="eastAsia"/>
                </w:rPr>
                <w:t>（</w:t>
              </w:r>
              <w:r>
                <w:t>1）柳钢股份与华夏银行股份有限公司南宁青秀支行、广西利澳贸易有限公司票据合同纠纷案</w:t>
              </w:r>
            </w:p>
            <w:p>
              <w:pPr>
                <w:pStyle w:val="76"/>
              </w:pPr>
              <w:r>
                <w:rPr>
                  <w:rFonts w:hint="eastAsia"/>
                </w:rPr>
                <w:t>柳钢股份诉华夏银行股份有限公司南宁青秀支行、广西利澳贸易有限公司票据纠纷案，</w:t>
              </w:r>
              <w:r>
                <w:t>2017年6月16日南宁市青秀区人民法院一审判决驳回柳钢股份所有诉请</w:t>
              </w:r>
              <w:r>
                <w:rPr>
                  <w:rFonts w:hint="eastAsia"/>
                </w:rPr>
                <w:t>。</w:t>
              </w:r>
              <w:r>
                <w:t>2017年7月，柳钢股份不服一审判决，已向南宁中院提起上诉</w:t>
              </w:r>
              <w:r>
                <w:rPr>
                  <w:rFonts w:hint="eastAsia"/>
                </w:rPr>
                <w:t>，2018年南宁中院作出终审判决，撤销南宁青秀区法院一审判决，判决华夏银行南宁青秀支行在</w:t>
              </w:r>
              <w:r>
                <w:t>10日内承担支付票款责任和利息，并承担本案诉讼费用。</w:t>
              </w:r>
              <w:r>
                <w:rPr>
                  <w:rFonts w:hint="eastAsia"/>
                </w:rPr>
                <w:t>截止本报告报出日，柳钢股份</w:t>
              </w:r>
              <w:r>
                <w:t>尚未</w:t>
              </w:r>
              <w:r>
                <w:rPr>
                  <w:rFonts w:hint="eastAsia"/>
                </w:rPr>
                <w:t>收到款项</w:t>
              </w:r>
              <w:r>
                <w:t>。</w:t>
              </w:r>
            </w:p>
            <w:p>
              <w:pPr>
                <w:pStyle w:val="76"/>
              </w:pPr>
            </w:p>
            <w:p>
              <w:pPr>
                <w:pStyle w:val="76"/>
              </w:pPr>
              <w:r>
                <w:rPr>
                  <w:rFonts w:hint="eastAsia"/>
                </w:rPr>
                <w:t>（2</w:t>
              </w:r>
              <w:r>
                <w:t>）柳钢股份与工商银行衡阳分行、湖南衡阳泽丰园公司金融借款合同纠纷案</w:t>
              </w:r>
            </w:p>
            <w:p>
              <w:pPr>
                <w:pStyle w:val="76"/>
              </w:pPr>
              <w:r>
                <w:rPr>
                  <w:rFonts w:hint="eastAsia"/>
                </w:rPr>
                <w:t>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2017年12月湖南省衡阳县法院一审判决，认定柳钢股份、瑞昱公司非泽丰园公司借款担保人，驳回工商银行衡阳分行要求柳钢股份支付应付账款的请求。</w:t>
              </w:r>
              <w:r>
                <w:rPr>
                  <w:rFonts w:hint="eastAsia"/>
                </w:rPr>
                <w:t>工商银行不服一审判决，向衡阳中院上诉，本案二审已开庭，截止本报告报出日，案件仍在审理中。</w:t>
              </w:r>
            </w:p>
          </w:sdtContent>
        </w:sdt>
        <w:p>
          <w:pPr>
            <w:pStyle w:val="76"/>
          </w:pPr>
        </w:p>
      </w:sdtContent>
    </w:sdt>
    <w:sdt>
      <w:sdtPr>
        <w:rPr>
          <w:rFonts w:hint="eastAsia" w:ascii="宋体" w:hAnsi="宋体" w:cs="宋体"/>
          <w:b w:val="0"/>
          <w:bCs w:val="0"/>
          <w:kern w:val="0"/>
          <w:szCs w:val="24"/>
        </w:rPr>
        <w:alias w:val="模块:公司没有需要披露的或有事项，也应予以说明"/>
        <w:tag w:val="_GBC_428b07d001974f7390d8bb4142377be9"/>
        <w:id w:val="25156282"/>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80"/>
            <w:numPr>
              <w:ilvl w:val="0"/>
              <w:numId w:val="87"/>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5156281"/>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25156284"/>
        <w:lock w:val="sdtLocked"/>
        <w:placeholder>
          <w:docPart w:val="GBC22222222222222222222222222222"/>
        </w:placeholder>
      </w:sdtPr>
      <w:sdtEndPr>
        <w:rPr>
          <w:rFonts w:ascii="宋体" w:hAnsi="宋体" w:cs="宋体"/>
          <w:b w:val="0"/>
          <w:bCs w:val="0"/>
          <w:kern w:val="0"/>
          <w:szCs w:val="24"/>
        </w:rPr>
      </w:sdtEndPr>
      <w:sdtContent>
        <w:p>
          <w:pPr>
            <w:pStyle w:val="79"/>
            <w:numPr>
              <w:ilvl w:val="0"/>
              <w:numId w:val="86"/>
            </w:numPr>
          </w:pPr>
          <w:r>
            <w:rPr>
              <w:rFonts w:hint="eastAsia"/>
            </w:rPr>
            <w:t>其他</w:t>
          </w:r>
        </w:p>
        <w:sdt>
          <w:sdtPr>
            <w:alias w:val="是否适用：承诺及或有事项的其他情况说明[双击切换]"/>
            <w:tag w:val="_GBC_ff33b21a56eb4d3291f2b4875be5a2b2"/>
            <w:id w:val="2515628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8"/>
        <w:numPr>
          <w:ilvl w:val="0"/>
          <w:numId w:val="34"/>
        </w:numPr>
      </w:pPr>
      <w:r>
        <w:rPr>
          <w:rFonts w:hint="eastAsia"/>
        </w:rPr>
        <w:t>资产负债表日后事项</w:t>
      </w:r>
    </w:p>
    <w:sdt>
      <w:sdtPr>
        <w:rPr>
          <w:rFonts w:hint="eastAsia" w:ascii="宋体" w:hAnsi="宋体" w:cs="宋体"/>
          <w:b w:val="0"/>
          <w:bCs w:val="0"/>
          <w:kern w:val="0"/>
          <w:szCs w:val="24"/>
        </w:rPr>
        <w:alias w:val="模块:重要的非调整事项"/>
        <w:tag w:val="_GBC_5d1bcf8f61b9443ba6ffa54897c724fc"/>
        <w:id w:val="25156286"/>
        <w:lock w:val="sdtLocked"/>
        <w:placeholder>
          <w:docPart w:val="GBC22222222222222222222222222222"/>
        </w:placeholder>
      </w:sdtPr>
      <w:sdtEndPr>
        <w:rPr>
          <w:rFonts w:hint="eastAsia" w:asciiTheme="minorHAnsi" w:hAnsiTheme="minorHAnsi" w:eastAsiaTheme="minorEastAsia" w:cstheme="minorBidi"/>
          <w:b w:val="0"/>
          <w:bCs w:val="0"/>
          <w:kern w:val="0"/>
          <w:szCs w:val="22"/>
        </w:rPr>
      </w:sdtEndPr>
      <w:sdtContent>
        <w:p>
          <w:pPr>
            <w:pStyle w:val="79"/>
            <w:numPr>
              <w:ilvl w:val="0"/>
              <w:numId w:val="88"/>
            </w:numPr>
          </w:pPr>
          <w:r>
            <w:rPr>
              <w:rFonts w:hint="eastAsia"/>
            </w:rPr>
            <w:t>重要的非调整事项</w:t>
          </w:r>
        </w:p>
        <w:sdt>
          <w:sdtPr>
            <w:alias w:val="是否适用：重要的非调整事项[双击切换]"/>
            <w:tag w:val="_GBC_ab366a8fb12748d6aa2a8401b360857c"/>
            <w:id w:val="2515628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资产负债表日后利润分配情况说明"/>
        <w:tag w:val="_GBC_0fa3d44599d34674894cec144baccd50"/>
        <w:id w:val="25156292"/>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79"/>
            <w:numPr>
              <w:ilvl w:val="0"/>
              <w:numId w:val="88"/>
            </w:numPr>
          </w:pPr>
          <w:r>
            <w:rPr>
              <w:rFonts w:hint="eastAsia"/>
            </w:rPr>
            <w:t>利润分配情况</w:t>
          </w:r>
        </w:p>
        <w:sdt>
          <w:sdtPr>
            <w:alias w:val="是否适用：利润分配情况[双击切换]"/>
            <w:tag w:val="_GBC_a2ea8cd0604f474db0e7e62eb7fc0435"/>
            <w:id w:val="2515628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财务附注：资产负债表日后利润分配情况说明"/>
              <w:tag w:val="_GBC_2cd50742f31e450d918c4d757ac95355"/>
              <w:id w:val="251562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3cd32df399a942d9a0192661fd8c3923"/>
              <w:id w:val="251562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a775ccd0d34abaa265b70cdda01da4"/>
                <w:id w:val="25156290"/>
                <w:lock w:val="sdtLocked"/>
              </w:sdtPr>
              <w:sdtContent>
                <w:tc>
                  <w:tcPr>
                    <w:tcW w:w="3723"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拟分配的利润或股利</w:t>
                    </w:r>
                  </w:p>
                </w:tc>
              </w:sdtContent>
            </w:sdt>
            <w:tc>
              <w:tcPr>
                <w:tcW w:w="5326" w:type="dxa"/>
                <w:tcBorders>
                  <w:top w:val="single" w:color="auto" w:sz="4" w:space="0"/>
                  <w:left w:val="single" w:color="auto" w:sz="4" w:space="0"/>
                  <w:bottom w:val="single" w:color="auto" w:sz="4" w:space="0"/>
                  <w:right w:val="single" w:color="auto" w:sz="4" w:space="0"/>
                </w:tcBorders>
              </w:tcPr>
              <w:p>
                <w:pPr>
                  <w:pStyle w:val="76"/>
                  <w:jc w:val="right"/>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f6844582964688a629c2072b6188b4"/>
                <w:id w:val="25156291"/>
                <w:lock w:val="sdtLocked"/>
              </w:sdtPr>
              <w:sdtContent>
                <w:tc>
                  <w:tcPr>
                    <w:tcW w:w="3723" w:type="dxa"/>
                    <w:tcBorders>
                      <w:top w:val="single" w:color="auto" w:sz="4" w:space="0"/>
                      <w:left w:val="single" w:color="auto" w:sz="4" w:space="0"/>
                      <w:bottom w:val="single" w:color="auto" w:sz="4" w:space="0"/>
                      <w:right w:val="single" w:color="auto" w:sz="4" w:space="0"/>
                    </w:tcBorders>
                  </w:tcPr>
                  <w:p>
                    <w:pPr>
                      <w:pStyle w:val="76"/>
                      <w:rPr>
                        <w:szCs w:val="21"/>
                      </w:rPr>
                    </w:pPr>
                    <w:r>
                      <w:rPr>
                        <w:rFonts w:hint="eastAsia"/>
                        <w:szCs w:val="21"/>
                      </w:rPr>
                      <w:t>经审议批准宣告发放的利润或股利</w:t>
                    </w:r>
                  </w:p>
                </w:tc>
              </w:sdtContent>
            </w:sdt>
            <w:tc>
              <w:tcPr>
                <w:tcW w:w="5326" w:type="dxa"/>
                <w:tcBorders>
                  <w:top w:val="single" w:color="auto" w:sz="4" w:space="0"/>
                  <w:left w:val="single" w:color="auto" w:sz="4" w:space="0"/>
                  <w:bottom w:val="single" w:color="auto" w:sz="4" w:space="0"/>
                  <w:right w:val="single" w:color="auto" w:sz="4" w:space="0"/>
                </w:tcBorders>
              </w:tcPr>
              <w:p>
                <w:pPr>
                  <w:pStyle w:val="76"/>
                  <w:jc w:val="right"/>
                  <w:rPr>
                    <w:szCs w:val="21"/>
                  </w:rPr>
                </w:pPr>
                <w:r>
                  <w:rPr>
                    <w:szCs w:val="21"/>
                  </w:rPr>
                  <w:t>1,281,396,600</w:t>
                </w:r>
                <w:r>
                  <w:rPr>
                    <w:rFonts w:hint="eastAsia"/>
                    <w:szCs w:val="21"/>
                  </w:rPr>
                  <w:t>.00</w:t>
                </w:r>
              </w:p>
            </w:tc>
          </w:tr>
        </w:tbl>
      </w:sdtContent>
    </w:sdt>
    <w:p>
      <w:pPr>
        <w:pStyle w:val="76"/>
        <w:rPr>
          <w:szCs w:val="21"/>
        </w:rPr>
      </w:pPr>
    </w:p>
    <w:sdt>
      <w:sdtPr>
        <w:rPr>
          <w:rFonts w:ascii="宋体" w:hAnsi="宋体" w:cs="宋体"/>
          <w:b w:val="0"/>
          <w:bCs w:val="0"/>
          <w:kern w:val="0"/>
          <w:szCs w:val="21"/>
        </w:rPr>
        <w:alias w:val="模块:资产负债表日后事项-销售退回说明"/>
        <w:tag w:val="_GBC_189c429afb95427192d478a4da4061cd"/>
        <w:id w:val="25156294"/>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88"/>
            </w:numPr>
          </w:pPr>
          <w:bookmarkStart w:id="60" w:name="_Toc241636515"/>
          <w:r>
            <w:rPr>
              <w:rFonts w:hint="eastAsia"/>
              <w:szCs w:val="21"/>
            </w:rPr>
            <w:t>销售</w:t>
          </w:r>
          <w:r>
            <w:rPr>
              <w:rFonts w:hint="eastAsia"/>
            </w:rPr>
            <w:t>退回</w:t>
          </w:r>
        </w:p>
        <w:sdt>
          <w:sdtPr>
            <w:alias w:val="是否适用：销售退回[双击切换]"/>
            <w:tag w:val="_GBC_4175c0e820fa43cd98dd2d05c0dea8a8"/>
            <w:id w:val="25156293"/>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4"/>
        </w:rPr>
        <w:alias w:val="模块:其他资产负债表日后事项说明"/>
        <w:tag w:val="_GBC_90d185c72bfe452398767dd3a98447a5"/>
        <w:id w:val="25156296"/>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88"/>
            </w:numPr>
          </w:pPr>
          <w:r>
            <w:rPr>
              <w:rFonts w:hint="eastAsia"/>
            </w:rPr>
            <w:t>其他资产负债表日后事项说明</w:t>
          </w:r>
          <w:bookmarkEnd w:id="60"/>
        </w:p>
        <w:sdt>
          <w:sdtPr>
            <w:alias w:val="是否适用：其他资产负债表日后事项说明[双击切换]"/>
            <w:tag w:val="_GBC_3da0e7092a0048ed9e147e2e860785f5"/>
            <w:id w:val="2515629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8"/>
        <w:numPr>
          <w:ilvl w:val="0"/>
          <w:numId w:val="34"/>
        </w:numPr>
      </w:pPr>
      <w:r>
        <w:rPr>
          <w:rFonts w:hint="eastAsia"/>
        </w:rPr>
        <w:t>其他重要事项</w:t>
      </w:r>
    </w:p>
    <w:p>
      <w:pPr>
        <w:pStyle w:val="79"/>
        <w:numPr>
          <w:ilvl w:val="0"/>
          <w:numId w:val="89"/>
        </w:numPr>
      </w:pPr>
      <w:r>
        <w:rPr>
          <w:rFonts w:hint="eastAsia"/>
        </w:rPr>
        <w:t>前期会计差错更正</w:t>
      </w:r>
    </w:p>
    <w:sdt>
      <w:sdtPr>
        <w:rPr>
          <w:rFonts w:hint="eastAsia" w:ascii="宋体" w:hAnsi="宋体" w:cs="宋体"/>
          <w:b w:val="0"/>
          <w:bCs w:val="0"/>
          <w:kern w:val="0"/>
          <w:szCs w:val="21"/>
        </w:rPr>
        <w:alias w:val="模块:会计差错更正(追溯重述)"/>
        <w:tag w:val="_GBC_cb1f61a36a2a43b0ad30697c25cce450"/>
        <w:id w:val="25156298"/>
        <w:lock w:val="sdtLocked"/>
        <w:placeholder>
          <w:docPart w:val="GBC22222222222222222222222222222"/>
        </w:placeholder>
      </w:sdtPr>
      <w:sdtEndPr>
        <w:rPr>
          <w:rFonts w:hint="eastAsia" w:ascii="宋体" w:hAnsi="宋体" w:cs="宋体"/>
          <w:b w:val="0"/>
          <w:bCs w:val="0"/>
          <w:kern w:val="0"/>
          <w:sz w:val="20"/>
          <w:szCs w:val="21"/>
        </w:rPr>
      </w:sdtEndPr>
      <w:sdtContent>
        <w:p>
          <w:pPr>
            <w:pStyle w:val="80"/>
            <w:numPr>
              <w:ilvl w:val="0"/>
              <w:numId w:val="90"/>
            </w:numPr>
            <w:tabs>
              <w:tab w:val="left" w:pos="602"/>
            </w:tabs>
          </w:pPr>
          <w:r>
            <w:rPr>
              <w:rFonts w:hint="eastAsia"/>
            </w:rPr>
            <w:t>追溯重述法</w:t>
          </w:r>
        </w:p>
        <w:p>
          <w:pPr>
            <w:pStyle w:val="76"/>
            <w:rPr>
              <w:szCs w:val="21"/>
            </w:rPr>
          </w:pPr>
          <w:sdt>
            <w:sdtPr>
              <w:rPr>
                <w:rFonts w:hint="eastAsia"/>
                <w:szCs w:val="21"/>
              </w:rPr>
              <w:alias w:val="是否适用：追溯重述法[双击切换]"/>
              <w:tag w:val="_GBC_9d59987ec8f64e568cc0874cd76bb5ce"/>
              <w:id w:val="25156297"/>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宋体" w:hAnsi="宋体" w:cs="宋体"/>
          <w:b w:val="0"/>
          <w:bCs w:val="0"/>
          <w:kern w:val="0"/>
          <w:szCs w:val="24"/>
        </w:rPr>
        <w:alias w:val="模块:未来适用法本报告期是否发现采用未来适用法的前期会计差错：（..."/>
        <w:tag w:val="_GBC_6bd40de18d9047e48f182803eefc5581"/>
        <w:id w:val="25156300"/>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0"/>
              <w:numId w:val="90"/>
            </w:numPr>
            <w:tabs>
              <w:tab w:val="left" w:pos="602"/>
            </w:tabs>
            <w:rPr>
              <w:rFonts w:cs="Cambria"/>
              <w:bCs w:val="0"/>
            </w:rPr>
          </w:pPr>
          <w:r>
            <w:rPr>
              <w:rFonts w:hint="eastAsia"/>
            </w:rPr>
            <w:t>未来</w:t>
          </w:r>
          <w:r>
            <w:rPr>
              <w:rFonts w:hint="eastAsia" w:cs="Cambria"/>
              <w:bCs w:val="0"/>
            </w:rPr>
            <w:t>适用法</w:t>
          </w:r>
        </w:p>
        <w:sdt>
          <w:sdtPr>
            <w:alias w:val="是否适用：未来适用法[双击切换]"/>
            <w:tag w:val="_GBC_add0977272ee43e7938e3e96c6aaa92d"/>
            <w:id w:val="2515629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债务重组"/>
        <w:tag w:val="_GBC_998fd0c3432a41e5b98f1c74ffeda751"/>
        <w:id w:val="25156302"/>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79"/>
            <w:numPr>
              <w:ilvl w:val="0"/>
              <w:numId w:val="89"/>
            </w:numPr>
          </w:pPr>
          <w:bookmarkStart w:id="61" w:name="_Toc241636518"/>
          <w:r>
            <w:rPr>
              <w:rFonts w:hint="eastAsia"/>
            </w:rPr>
            <w:t>债务重组</w:t>
          </w:r>
          <w:bookmarkEnd w:id="61"/>
        </w:p>
        <w:sdt>
          <w:sdtPr>
            <w:alias w:val="是否适用：债务重组[双击切换]"/>
            <w:tag w:val="_GBC_a39e02df9c5d42f2bd7e116f823b8615"/>
            <w:id w:val="25156301"/>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9"/>
        <w:numPr>
          <w:ilvl w:val="0"/>
          <w:numId w:val="89"/>
        </w:numPr>
      </w:pPr>
      <w:r>
        <w:rPr>
          <w:rFonts w:hint="eastAsia"/>
        </w:rPr>
        <w:t>资产置换</w:t>
      </w:r>
    </w:p>
    <w:sdt>
      <w:sdtPr>
        <w:rPr>
          <w:rFonts w:hint="eastAsia" w:ascii="宋体" w:hAnsi="宋体" w:cs="宋体"/>
          <w:b w:val="0"/>
          <w:bCs w:val="0"/>
          <w:kern w:val="0"/>
          <w:szCs w:val="24"/>
        </w:rPr>
        <w:alias w:val="模块:非货币性资产交换"/>
        <w:tag w:val="_GBC_c8e7bc701c4e40cea43130c65dd24cdf"/>
        <w:id w:val="25156304"/>
        <w:lock w:val="sdtLocked"/>
        <w:placeholder>
          <w:docPart w:val="GBC22222222222222222222222222222"/>
        </w:placeholder>
      </w:sdtPr>
      <w:sdtEndPr>
        <w:rPr>
          <w:rFonts w:hint="eastAsia" w:asciiTheme="minorHAnsi" w:hAnsiTheme="minorHAnsi" w:cstheme="minorBidi"/>
          <w:b w:val="0"/>
          <w:bCs w:val="0"/>
          <w:kern w:val="0"/>
          <w:szCs w:val="21"/>
        </w:rPr>
      </w:sdtEndPr>
      <w:sdtContent>
        <w:p>
          <w:pPr>
            <w:pStyle w:val="80"/>
            <w:numPr>
              <w:ilvl w:val="0"/>
              <w:numId w:val="91"/>
            </w:numPr>
            <w:tabs>
              <w:tab w:val="left" w:pos="644"/>
            </w:tabs>
          </w:pPr>
          <w:bookmarkStart w:id="62" w:name="_Toc241636517"/>
          <w:bookmarkStart w:id="63" w:name="_Toc161412438"/>
          <w:r>
            <w:rPr>
              <w:rFonts w:hint="eastAsia"/>
            </w:rPr>
            <w:t>非货币性资产交换</w:t>
          </w:r>
          <w:bookmarkEnd w:id="62"/>
          <w:bookmarkEnd w:id="63"/>
        </w:p>
        <w:sdt>
          <w:sdtPr>
            <w:alias w:val="是否适用：非货币性资产交换[双击切换]"/>
            <w:tag w:val="_GBC_1e8378570c9a4db08ad001118944af2e"/>
            <w:id w:val="25156303"/>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4"/>
        </w:rPr>
        <w:alias w:val="模块:其他资产置换资产说明"/>
        <w:tag w:val="_GBC_a7d8a797c78a4fb398d42fc923a0a5dc"/>
        <w:id w:val="25156306"/>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80"/>
            <w:numPr>
              <w:ilvl w:val="0"/>
              <w:numId w:val="91"/>
            </w:numPr>
            <w:tabs>
              <w:tab w:val="left" w:pos="644"/>
            </w:tabs>
          </w:pPr>
          <w:r>
            <w:rPr>
              <w:rFonts w:hint="eastAsia"/>
            </w:rPr>
            <w:t>其他资产置换</w:t>
          </w:r>
        </w:p>
        <w:sdt>
          <w:sdtPr>
            <w:alias w:val="是否适用：其他资产置换[双击切换]"/>
            <w:tag w:val="_GBC_e20be5fc12b94f43a4090c14cc3aec63"/>
            <w:id w:val="2515630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sdt>
      <w:sdtPr>
        <w:rPr>
          <w:rFonts w:hint="eastAsia" w:ascii="宋体" w:hAnsi="宋体" w:cs="宋体"/>
          <w:b w:val="0"/>
          <w:bCs w:val="0"/>
          <w:kern w:val="0"/>
          <w:szCs w:val="24"/>
        </w:rPr>
        <w:alias w:val="模块:年金计划主要内容及重大变化"/>
        <w:tag w:val="_GBC_868ef73c1ce14e36a7c8c41a6c9d1268"/>
        <w:id w:val="25156308"/>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79"/>
            <w:numPr>
              <w:ilvl w:val="0"/>
              <w:numId w:val="89"/>
            </w:numPr>
          </w:pPr>
          <w:bookmarkStart w:id="64" w:name="_Toc247371936"/>
          <w:r>
            <w:rPr>
              <w:rFonts w:hint="eastAsia"/>
            </w:rPr>
            <w:t>年金计划</w:t>
          </w:r>
          <w:bookmarkEnd w:id="64"/>
        </w:p>
        <w:sdt>
          <w:sdtPr>
            <w:alias w:val="是否适用：年金计划[双击切换]"/>
            <w:tag w:val="_GBC_f69a163f78f74a54a6443aaa7388f0dd"/>
            <w:id w:val="25156307"/>
            <w:lock w:val="sdtContentLocked"/>
            <w:placeholder>
              <w:docPart w:val="GBC22222222222222222222222222222"/>
            </w:placeholder>
          </w:sdtPr>
          <w:sdtContent>
            <w:p>
              <w:pPr>
                <w:pStyle w:val="76"/>
                <w:rPr>
                  <w:rFonts w:asciiTheme="minorHAnsi" w:hAnsiTheme="minorHAnsi" w:eastAsiaTheme="minorEastAsia"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宋体" w:hAnsi="宋体" w:cs="宋体"/>
          <w:b w:val="0"/>
          <w:bCs w:val="0"/>
          <w:kern w:val="0"/>
          <w:szCs w:val="21"/>
        </w:rPr>
        <w:alias w:val="模块:终止经营"/>
        <w:tag w:val="_GBC_eb9f713a39454ce1a2b0b09086ca70cc"/>
        <w:id w:val="25156310"/>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89"/>
            </w:numPr>
            <w:rPr>
              <w:rFonts w:ascii="宋体" w:hAnsi="宋体"/>
              <w:szCs w:val="21"/>
            </w:rPr>
          </w:pPr>
          <w:r>
            <w:rPr>
              <w:rFonts w:hint="eastAsia" w:ascii="宋体" w:hAnsi="宋体"/>
              <w:szCs w:val="21"/>
            </w:rPr>
            <w:t>终止经营</w:t>
          </w:r>
        </w:p>
        <w:sdt>
          <w:sdtPr>
            <w:alias w:val="是否适用：终止经营[双击切换]"/>
            <w:tag w:val="_GBC_8e88002e405543f593111633f63e4d8b"/>
            <w:id w:val="2515630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rFonts w:cstheme="minorBidi"/>
              <w:kern w:val="2"/>
              <w:szCs w:val="21"/>
            </w:rPr>
          </w:pPr>
        </w:p>
      </w:sdtContent>
    </w:sdt>
    <w:p>
      <w:pPr>
        <w:pStyle w:val="76"/>
        <w:rPr>
          <w:szCs w:val="21"/>
        </w:rPr>
      </w:pPr>
    </w:p>
    <w:p>
      <w:pPr>
        <w:pStyle w:val="79"/>
        <w:numPr>
          <w:ilvl w:val="0"/>
          <w:numId w:val="89"/>
        </w:numPr>
        <w:rPr>
          <w:rFonts w:ascii="宋体" w:hAnsi="宋体"/>
          <w:szCs w:val="21"/>
        </w:rPr>
      </w:pPr>
      <w:r>
        <w:rPr>
          <w:rFonts w:hint="eastAsia" w:ascii="宋体" w:hAnsi="宋体"/>
          <w:szCs w:val="21"/>
        </w:rPr>
        <w:t>分部信息</w:t>
      </w:r>
    </w:p>
    <w:sdt>
      <w:sdtPr>
        <w:rPr>
          <w:rFonts w:hint="eastAsia" w:ascii="宋体" w:hAnsi="宋体" w:cs="宋体"/>
          <w:b w:val="0"/>
          <w:bCs w:val="0"/>
          <w:kern w:val="0"/>
          <w:szCs w:val="21"/>
        </w:rPr>
        <w:alias w:val="模块:分部信息报告分部的确定依据与会计政策"/>
        <w:tag w:val="_GBC_a659f5b3817d4a3394d1850cd82bbbab"/>
        <w:id w:val="25156312"/>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1"/>
              <w:numId w:val="92"/>
            </w:numPr>
            <w:tabs>
              <w:tab w:val="left" w:pos="644"/>
            </w:tabs>
            <w:ind w:left="420"/>
            <w:rPr>
              <w:rFonts w:ascii="宋体" w:hAnsi="宋体"/>
              <w:szCs w:val="21"/>
            </w:rPr>
          </w:pPr>
          <w:r>
            <w:rPr>
              <w:rFonts w:hint="eastAsia" w:ascii="宋体" w:hAnsi="宋体"/>
              <w:szCs w:val="21"/>
            </w:rPr>
            <w:t>报告分部的确定依据与会计政策：</w:t>
          </w:r>
        </w:p>
        <w:sdt>
          <w:sdtPr>
            <w:alias w:val="是否适用：报告分部的确定依据与会计政策[双击切换]"/>
            <w:tag w:val="_GBC_3684a11ce06644529eba619783a75583"/>
            <w:id w:val="25156311"/>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sdt>
      <w:sdtPr>
        <w:rPr>
          <w:rFonts w:hint="eastAsia" w:ascii="宋体" w:hAnsi="宋体" w:cs="宋体"/>
          <w:b w:val="0"/>
          <w:bCs w:val="0"/>
          <w:kern w:val="0"/>
          <w:szCs w:val="24"/>
        </w:rPr>
        <w:alias w:val="模块:报告分部的财务信息"/>
        <w:tag w:val="_GBC_7bcfc6b35dea4597b05ae9db882c542b"/>
        <w:id w:val="25156314"/>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1"/>
              <w:numId w:val="92"/>
            </w:numPr>
            <w:tabs>
              <w:tab w:val="left" w:pos="644"/>
            </w:tabs>
            <w:ind w:left="420"/>
          </w:pPr>
          <w:r>
            <w:rPr>
              <w:rFonts w:hint="eastAsia"/>
            </w:rPr>
            <w:t>报告分部的财务信息</w:t>
          </w:r>
        </w:p>
        <w:sdt>
          <w:sdtPr>
            <w:alias w:val="是否适用：报告分部的财务信息[双击切换]"/>
            <w:tag w:val="_GBC_25e6ee3686524d959ae273bb5aaa9cfb"/>
            <w:id w:val="2515631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公司无报告分部的，或者不能披露各报告分部的资产总额和负债总额的，应说明原因"/>
        <w:tag w:val="_GBC_0a73290869524182a42675dee97eaa48"/>
        <w:id w:val="25156316"/>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1"/>
              <w:numId w:val="92"/>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25156315"/>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hint="eastAsia" w:ascii="宋体" w:hAnsi="宋体" w:cs="宋体"/>
          <w:b w:val="0"/>
          <w:bCs w:val="0"/>
          <w:kern w:val="0"/>
          <w:szCs w:val="21"/>
        </w:rPr>
        <w:alias w:val="模块:分部信息其他说明"/>
        <w:tag w:val="_GBC_bf8b759cb5b84035861b501b67f52f53"/>
        <w:id w:val="25156318"/>
        <w:lock w:val="sdtLocked"/>
        <w:placeholder>
          <w:docPart w:val="GBC22222222222222222222222222222"/>
        </w:placeholder>
      </w:sdtPr>
      <w:sdtEndPr>
        <w:rPr>
          <w:rFonts w:hint="eastAsia" w:ascii="宋体" w:hAnsi="宋体" w:cs="宋体"/>
          <w:b w:val="0"/>
          <w:bCs w:val="0"/>
          <w:kern w:val="0"/>
          <w:szCs w:val="21"/>
        </w:rPr>
      </w:sdtEndPr>
      <w:sdtContent>
        <w:p>
          <w:pPr>
            <w:pStyle w:val="80"/>
            <w:numPr>
              <w:ilvl w:val="1"/>
              <w:numId w:val="92"/>
            </w:numPr>
            <w:tabs>
              <w:tab w:val="left" w:pos="644"/>
            </w:tabs>
            <w:ind w:left="420"/>
            <w:rPr>
              <w:szCs w:val="21"/>
            </w:rPr>
          </w:pPr>
          <w:r>
            <w:rPr>
              <w:rFonts w:hint="eastAsia"/>
              <w:szCs w:val="21"/>
            </w:rPr>
            <w:t>其他</w:t>
          </w:r>
          <w:r>
            <w:rPr>
              <w:rFonts w:hint="eastAsia"/>
            </w:rPr>
            <w:t>说明</w:t>
          </w:r>
          <w:r>
            <w:rPr>
              <w:rFonts w:hint="eastAsia"/>
              <w:szCs w:val="21"/>
            </w:rPr>
            <w:t>：</w:t>
          </w:r>
        </w:p>
        <w:sdt>
          <w:sdtPr>
            <w:alias w:val="是否适用：分部信息的其他说明[双击切换]"/>
            <w:tag w:val="_GBC_d4186588d0fd49e5b2642a9422c2353f"/>
            <w:id w:val="25156317"/>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sdt>
      <w:sdtPr>
        <w:rPr>
          <w:rFonts w:hint="eastAsia" w:ascii="宋体" w:hAnsi="宋体" w:cs="宋体"/>
          <w:b w:val="0"/>
          <w:bCs w:val="0"/>
          <w:kern w:val="0"/>
          <w:szCs w:val="21"/>
        </w:rPr>
        <w:alias w:val="模块:其他重要事项说明"/>
        <w:tag w:val="_GBC_0e2af5e32a53408bb340218a0c352be0"/>
        <w:id w:val="25156321"/>
        <w:lock w:val="sdtLocked"/>
        <w:placeholder>
          <w:docPart w:val="GBC22222222222222222222222222222"/>
        </w:placeholder>
      </w:sdtPr>
      <w:sdtEndPr>
        <w:rPr>
          <w:rFonts w:hint="eastAsia" w:ascii="宋体" w:hAnsi="宋体" w:cstheme="minorBidi"/>
          <w:b w:val="0"/>
          <w:bCs w:val="0"/>
          <w:kern w:val="2"/>
          <w:szCs w:val="21"/>
        </w:rPr>
      </w:sdtEndPr>
      <w:sdtContent>
        <w:p>
          <w:pPr>
            <w:pStyle w:val="79"/>
            <w:numPr>
              <w:ilvl w:val="0"/>
              <w:numId w:val="89"/>
            </w:numPr>
            <w:rPr>
              <w:rFonts w:ascii="宋体" w:hAnsi="宋体" w:cs="宋体"/>
              <w:bCs w:val="0"/>
              <w:kern w:val="0"/>
              <w:szCs w:val="21"/>
            </w:rPr>
          </w:pPr>
          <w:bookmarkStart w:id="65" w:name="_Toc241636520"/>
          <w:bookmarkEnd w:id="65"/>
          <w:r>
            <w:rPr>
              <w:rFonts w:hint="eastAsia" w:ascii="宋体" w:hAnsi="宋体" w:cs="宋体"/>
              <w:bCs w:val="0"/>
              <w:kern w:val="0"/>
              <w:szCs w:val="21"/>
            </w:rPr>
            <w:t>其他对投资者决策有影响的重要交易和事项</w:t>
          </w:r>
        </w:p>
        <w:sdt>
          <w:sdtPr>
            <w:alias w:val="是否适用：其他对投资者决策有影响的重要交易和事项[双击切换]"/>
            <w:tag w:val="_GBC_6bb0ea1e73f644b99b2bccc9d2ea19e9"/>
            <w:id w:val="25156319"/>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对投资者决策有影响的重要交易和事项"/>
            <w:tag w:val="_GBC_b7577a1312e14bffa0ac720ced1b00ca"/>
            <w:id w:val="25156320"/>
            <w:lock w:val="sdtLocked"/>
            <w:placeholder>
              <w:docPart w:val="GBC22222222222222222222222222222"/>
            </w:placeholder>
          </w:sdtPr>
          <w:sdtEndPr>
            <w:rPr>
              <w:szCs w:val="21"/>
            </w:rPr>
          </w:sdtEndPr>
          <w:sdtContent>
            <w:p>
              <w:pPr>
                <w:pStyle w:val="76"/>
                <w:spacing w:line="360" w:lineRule="exact"/>
                <w:rPr>
                  <w:szCs w:val="21"/>
                </w:rPr>
              </w:pPr>
              <w:r>
                <w:rPr>
                  <w:rFonts w:hint="eastAsia"/>
                  <w:szCs w:val="21"/>
                </w:rPr>
                <w:t>中信银行厦门分行起诉柳钢股份、厦门拓兴成公司的诉讼事项已由福建省高级人民法院已做出二审判决（详见公司</w:t>
              </w:r>
              <w:r>
                <w:rPr>
                  <w:szCs w:val="21"/>
                </w:rPr>
                <w:t>2015-001,2016-024号公告）。柳钢股份向厦门拓兴成集团有限责任公司开展追偿，起诉至柳州市柳北区人民法院</w:t>
              </w:r>
              <w:r>
                <w:rPr>
                  <w:rFonts w:hint="eastAsia"/>
                  <w:szCs w:val="21"/>
                </w:rPr>
                <w:t>，法院判令厦门拓兴成集团有限责任公司立即赔付</w:t>
              </w:r>
              <w:r>
                <w:rPr>
                  <w:szCs w:val="21"/>
                </w:rPr>
                <w:t>1637.64万元及支付相应利息</w:t>
              </w:r>
              <w:r>
                <w:rPr>
                  <w:rFonts w:hint="eastAsia"/>
                  <w:szCs w:val="21"/>
                </w:rPr>
                <w:t>，柳钢股份已向法院申请强制执行。</w:t>
              </w:r>
            </w:p>
          </w:sdtContent>
        </w:sdt>
      </w:sdtContent>
    </w:sdt>
    <w:p>
      <w:pPr>
        <w:pStyle w:val="76"/>
        <w:rPr>
          <w:szCs w:val="21"/>
        </w:rPr>
      </w:pPr>
    </w:p>
    <w:sdt>
      <w:sdtPr>
        <w:rPr>
          <w:rFonts w:ascii="宋体" w:hAnsi="宋体" w:cs="宋体"/>
          <w:b w:val="0"/>
          <w:bCs w:val="0"/>
          <w:kern w:val="0"/>
          <w:szCs w:val="21"/>
        </w:rPr>
        <w:alias w:val="模块:其他重要事项的说明"/>
        <w:tag w:val="_GBC_a9d998641356411784b3ec54387f322d"/>
        <w:id w:val="25156323"/>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89"/>
            </w:numPr>
            <w:rPr>
              <w:rFonts w:ascii="宋体" w:hAnsi="宋体"/>
              <w:szCs w:val="21"/>
            </w:rPr>
          </w:pPr>
          <w:r>
            <w:rPr>
              <w:rFonts w:hint="eastAsia" w:ascii="宋体" w:hAnsi="宋体"/>
              <w:szCs w:val="21"/>
            </w:rPr>
            <w:t>其他</w:t>
          </w:r>
        </w:p>
        <w:sdt>
          <w:sdtPr>
            <w:alias w:val="是否适用：其他重要事项的说明[双击切换]"/>
            <w:tag w:val="_GBC_518cb9b615c44ff597f57c3bba95c7fa"/>
            <w:id w:val="2515632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8"/>
        <w:numPr>
          <w:ilvl w:val="0"/>
          <w:numId w:val="34"/>
        </w:numPr>
        <w:rPr>
          <w:rFonts w:ascii="宋体" w:hAnsi="宋体"/>
        </w:rPr>
      </w:pPr>
      <w:r>
        <w:rPr>
          <w:rFonts w:hint="eastAsia" w:ascii="宋体" w:hAnsi="宋体"/>
        </w:rPr>
        <w:t>母公司财务报表主要项目注释</w:t>
      </w:r>
    </w:p>
    <w:p>
      <w:pPr>
        <w:pStyle w:val="79"/>
        <w:numPr>
          <w:ilvl w:val="0"/>
          <w:numId w:val="93"/>
        </w:numPr>
        <w:rPr>
          <w:rFonts w:ascii="宋体" w:hAnsi="宋体"/>
          <w:szCs w:val="21"/>
        </w:rPr>
      </w:pPr>
      <w:r>
        <w:rPr>
          <w:rFonts w:hint="eastAsia" w:ascii="宋体" w:hAnsi="宋体"/>
          <w:szCs w:val="21"/>
        </w:rPr>
        <w:t>应收账款</w:t>
      </w:r>
    </w:p>
    <w:sdt>
      <w:sdtPr>
        <w:rPr>
          <w:rFonts w:ascii="宋体" w:hAnsi="宋体" w:cs="宋体"/>
          <w:b w:val="0"/>
          <w:bCs w:val="0"/>
          <w:kern w:val="0"/>
          <w:szCs w:val="21"/>
        </w:rPr>
        <w:alias w:val="模块:应收账款分类披露"/>
        <w:tag w:val="_GBC_b7030f280c0c47f4835cb57286097a50"/>
        <w:id w:val="25156325"/>
        <w:lock w:val="sdtLocked"/>
        <w:placeholder>
          <w:docPart w:val="GBC22222222222222222222222222222"/>
        </w:placeholder>
      </w:sdtPr>
      <w:sdtEndPr>
        <w:rPr>
          <w:rFonts w:ascii="宋体" w:hAnsi="宋体" w:cs="宋体"/>
          <w:b w:val="0"/>
          <w:bCs w:val="0"/>
          <w:kern w:val="0"/>
          <w:szCs w:val="21"/>
        </w:rPr>
      </w:sdtEndPr>
      <w:sdtContent>
        <w:p>
          <w:pPr>
            <w:pStyle w:val="80"/>
            <w:numPr>
              <w:ilvl w:val="0"/>
              <w:numId w:val="94"/>
            </w:numPr>
            <w:tabs>
              <w:tab w:val="left" w:pos="630"/>
            </w:tabs>
            <w:rPr>
              <w:rFonts w:ascii="宋体" w:hAnsi="宋体"/>
              <w:szCs w:val="21"/>
            </w:rPr>
          </w:pPr>
          <w:r>
            <w:rPr>
              <w:rFonts w:ascii="宋体" w:hAnsi="宋体"/>
              <w:szCs w:val="21"/>
            </w:rPr>
            <w:t>应收账款</w:t>
          </w:r>
          <w:r>
            <w:rPr>
              <w:rFonts w:hint="eastAsia" w:ascii="宋体" w:hAnsi="宋体"/>
              <w:szCs w:val="21"/>
            </w:rPr>
            <w:t>分</w:t>
          </w:r>
          <w:r>
            <w:rPr>
              <w:rFonts w:ascii="宋体" w:hAnsi="宋体"/>
              <w:szCs w:val="21"/>
            </w:rPr>
            <w:t>类</w:t>
          </w:r>
          <w:r>
            <w:rPr>
              <w:rFonts w:hint="eastAsia" w:ascii="宋体" w:hAnsi="宋体"/>
              <w:szCs w:val="21"/>
            </w:rPr>
            <w:t>披露：</w:t>
          </w:r>
        </w:p>
        <w:sdt>
          <w:sdtPr>
            <w:alias w:val="是否适用：母公司应收账款分类披露[双击切换]"/>
            <w:tag w:val="_GBC_5d5211fcdd1544e1a60648f257ed6fee"/>
            <w:id w:val="2515632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期末单项金额重大并单项计提坏账准备的应收账款"/>
        <w:tag w:val="_GBC_fc699e47282143dd8c7617426c36d7b0"/>
        <w:id w:val="25156327"/>
        <w:lock w:val="sdtLocked"/>
        <w:placeholder>
          <w:docPart w:val="GBC22222222222222222222222222222"/>
        </w:placeholder>
      </w:sdtPr>
      <w:sdtEndPr>
        <w:rPr>
          <w:rFonts w:hint="eastAsia"/>
          <w:szCs w:val="21"/>
        </w:rPr>
      </w:sdtEndPr>
      <w:sdtContent>
        <w:p>
          <w:pPr>
            <w:pStyle w:val="76"/>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25156326"/>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25156329"/>
        <w:lock w:val="sdtLocked"/>
        <w:placeholder>
          <w:docPart w:val="GBC22222222222222222222222222222"/>
        </w:placeholder>
      </w:sdtPr>
      <w:sdtEndPr>
        <w:rPr>
          <w:rFonts w:hint="default"/>
          <w:szCs w:val="21"/>
        </w:rPr>
      </w:sdtEndPr>
      <w:sdtContent>
        <w:p>
          <w:pPr>
            <w:pStyle w:val="76"/>
            <w:spacing w:before="60" w:after="60"/>
            <w:rPr>
              <w:szCs w:val="21"/>
            </w:rPr>
          </w:pPr>
          <w:r>
            <w:rPr>
              <w:rFonts w:hint="eastAsia"/>
              <w:szCs w:val="21"/>
            </w:rPr>
            <w:t>组合中，按账龄分析法计提坏账准备的应收账款：</w:t>
          </w:r>
        </w:p>
        <w:sdt>
          <w:sdtPr>
            <w:rPr>
              <w:szCs w:val="21"/>
            </w:rPr>
            <w:alias w:val="是否适用：母公司组合中，按账龄分析法计提坏账准备的应收账款[双击切换]"/>
            <w:tag w:val="_GBC_0a11a3bd15dd4fa882e7b9f16b5e3b07"/>
            <w:id w:val="25156328"/>
            <w:lock w:val="sdtContentLocked"/>
            <w:placeholder>
              <w:docPart w:val="GBC22222222222222222222222222222"/>
            </w:placeholder>
          </w:sdtPr>
          <w:sdtEndPr>
            <w:rPr>
              <w:szCs w:val="21"/>
            </w:rPr>
          </w:sdtEndPr>
          <w:sdtContent>
            <w:p>
              <w:pPr>
                <w:pStyle w:val="76"/>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autoSpaceDE w:val="0"/>
            <w:autoSpaceDN w:val="0"/>
            <w:adjustRightInd w:val="0"/>
            <w:rPr>
              <w:szCs w:val="21"/>
            </w:rPr>
          </w:pPr>
        </w:p>
      </w:sdtContent>
    </w:sdt>
    <w:p>
      <w:pPr>
        <w:pStyle w:val="76"/>
        <w:snapToGrid w:val="0"/>
        <w:spacing w:line="240" w:lineRule="atLeast"/>
        <w:rPr>
          <w:szCs w:val="21"/>
        </w:rPr>
      </w:pPr>
    </w:p>
    <w:sdt>
      <w:sdtPr>
        <w:rPr>
          <w:rFonts w:hint="eastAsia"/>
          <w:szCs w:val="21"/>
        </w:rPr>
        <w:alias w:val="模块:组合中，采用余额百分比法计提坏账准备的应收账款"/>
        <w:tag w:val="_GBC_58c6b137334b4fceabab328538b47f7a"/>
        <w:id w:val="25156331"/>
        <w:lock w:val="sdtLocked"/>
        <w:placeholder>
          <w:docPart w:val="GBC22222222222222222222222222222"/>
        </w:placeholder>
      </w:sdtPr>
      <w:sdtEndPr>
        <w:rPr>
          <w:rFonts w:hint="default"/>
          <w:szCs w:val="21"/>
        </w:rPr>
      </w:sdtEndPr>
      <w:sdtContent>
        <w:p>
          <w:pPr>
            <w:pStyle w:val="76"/>
            <w:spacing w:before="60" w:after="60"/>
            <w:rPr>
              <w:szCs w:val="21"/>
            </w:rPr>
          </w:pPr>
          <w:r>
            <w:rPr>
              <w:rFonts w:hint="eastAsia"/>
              <w:szCs w:val="21"/>
            </w:rPr>
            <w:t>组合中，采用余额百分比法计提坏账准备的应收账款：</w:t>
          </w:r>
        </w:p>
        <w:sdt>
          <w:sdtPr>
            <w:rPr>
              <w:szCs w:val="21"/>
            </w:rPr>
            <w:alias w:val="是否适用：母公司组合中，采用余额百分比法计提坏账准备的应收账款[双击切换]"/>
            <w:tag w:val="_GBC_4f0de04d0ae64a7da5d2e7d03c2bbbc9"/>
            <w:id w:val="25156330"/>
            <w:lock w:val="sdtContentLocked"/>
            <w:placeholder>
              <w:docPart w:val="GBC22222222222222222222222222222"/>
            </w:placeholder>
          </w:sdtPr>
          <w:sdtEndPr>
            <w:rPr>
              <w:szCs w:val="21"/>
            </w:rPr>
          </w:sdtEndPr>
          <w:sdtContent>
            <w:p>
              <w:pPr>
                <w:pStyle w:val="76"/>
                <w:tabs>
                  <w:tab w:val="left" w:pos="9720"/>
                </w:tabs>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sdtContent>
    </w:sdt>
    <w:p>
      <w:pPr>
        <w:pStyle w:val="76"/>
        <w:rPr>
          <w:szCs w:val="21"/>
        </w:rPr>
      </w:pPr>
    </w:p>
    <w:sdt>
      <w:sdtPr>
        <w:rPr>
          <w:rFonts w:hint="eastAsia"/>
          <w:szCs w:val="21"/>
        </w:rPr>
        <w:alias w:val="模块:组合中，采用其他方法计提坏账准备的应收账款"/>
        <w:tag w:val="_GBC_cbcaac7ffb204fbba40a134988cfd7c3"/>
        <w:id w:val="25156333"/>
        <w:lock w:val="sdtLocked"/>
        <w:placeholder>
          <w:docPart w:val="GBC22222222222222222222222222222"/>
        </w:placeholder>
      </w:sdtPr>
      <w:sdtEndPr>
        <w:rPr>
          <w:rFonts w:hint="default"/>
          <w:szCs w:val="21"/>
        </w:rPr>
      </w:sdtEndPr>
      <w:sdtContent>
        <w:p>
          <w:pPr>
            <w:pStyle w:val="76"/>
            <w:spacing w:before="60" w:after="60"/>
            <w:rPr>
              <w:szCs w:val="21"/>
            </w:rPr>
          </w:pPr>
          <w:r>
            <w:rPr>
              <w:rFonts w:hint="eastAsia"/>
              <w:szCs w:val="21"/>
            </w:rPr>
            <w:t>组合中，采用其他方法计提坏账准备的应收账款：</w:t>
          </w:r>
        </w:p>
        <w:sdt>
          <w:sdtPr>
            <w:rPr>
              <w:szCs w:val="21"/>
            </w:rPr>
            <w:alias w:val="是否适用：母公司采用其他方法计提坏账准备的应收账款说明[双击切换]"/>
            <w:tag w:val="_GBC_26958e6c4abd4157a39edb11f74f1224"/>
            <w:id w:val="25156332"/>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cs="宋体" w:asciiTheme="minorHAnsi" w:hAnsiTheme="minorHAnsi"/>
          <w:b w:val="0"/>
          <w:bCs w:val="0"/>
          <w:kern w:val="0"/>
          <w:szCs w:val="22"/>
        </w:rPr>
        <w:alias w:val="模块:本期转回或收回情况"/>
        <w:tag w:val="_GBC_4659654dc3bf4a4eba447daf2829f609"/>
        <w:id w:val="25156337"/>
        <w:lock w:val="sdtLocked"/>
        <w:placeholder>
          <w:docPart w:val="GBC22222222222222222222222222222"/>
        </w:placeholder>
      </w:sdtPr>
      <w:sdtEndPr>
        <w:rPr>
          <w:rFonts w:ascii="Times New Roman" w:hAnsi="Times New Roman" w:cs="宋体"/>
          <w:b w:val="0"/>
          <w:bCs w:val="0"/>
          <w:kern w:val="0"/>
          <w:szCs w:val="24"/>
        </w:rPr>
      </w:sdtEndPr>
      <w:sdtContent>
        <w:p>
          <w:pPr>
            <w:pStyle w:val="80"/>
            <w:numPr>
              <w:ilvl w:val="0"/>
              <w:numId w:val="94"/>
            </w:numPr>
            <w:tabs>
              <w:tab w:val="left" w:pos="630"/>
            </w:tabs>
            <w:rPr>
              <w:szCs w:val="21"/>
            </w:rPr>
          </w:pPr>
          <w:r>
            <w:rPr>
              <w:rFonts w:hint="eastAsia"/>
              <w:szCs w:val="21"/>
            </w:rPr>
            <w:t>本期计提、收回或转回的坏账准备情况：</w:t>
          </w:r>
        </w:p>
        <w:sdt>
          <w:sdtPr>
            <w:alias w:val="是否适用：母公司其中本期坏账准备收回或转回金额重要的[双击切换]"/>
            <w:tag w:val="_GBC_fffd00b943494951a410e5e38ab517d1"/>
            <w:id w:val="25156336"/>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ind w:right="-1594" w:rightChars="-759"/>
          </w:pPr>
        </w:p>
      </w:sdtContent>
    </w:sdt>
    <w:p>
      <w:pPr>
        <w:pStyle w:val="76"/>
      </w:pPr>
    </w:p>
    <w:sdt>
      <w:sdtPr>
        <w:rPr>
          <w:rFonts w:hint="eastAsia" w:ascii="Times New Roman" w:hAnsi="Times New Roman" w:cs="宋体"/>
          <w:b w:val="0"/>
          <w:bCs w:val="0"/>
          <w:kern w:val="0"/>
          <w:szCs w:val="24"/>
        </w:rPr>
        <w:alias w:val="模块:本报告期实际核销的应收账款情况"/>
        <w:tag w:val="_GBC_72fe1bcd09e2470f910107f1e159af49"/>
        <w:id w:val="25156339"/>
        <w:lock w:val="sdtLocked"/>
        <w:placeholder>
          <w:docPart w:val="GBC22222222222222222222222222222"/>
        </w:placeholder>
      </w:sdtPr>
      <w:sdtEndPr>
        <w:rPr>
          <w:rFonts w:hint="default" w:ascii="宋体" w:hAnsi="宋体" w:cs="宋体"/>
          <w:b w:val="0"/>
          <w:bCs w:val="0"/>
          <w:kern w:val="0"/>
          <w:szCs w:val="24"/>
        </w:rPr>
      </w:sdtEndPr>
      <w:sdtContent>
        <w:p>
          <w:pPr>
            <w:pStyle w:val="80"/>
            <w:numPr>
              <w:ilvl w:val="0"/>
              <w:numId w:val="94"/>
            </w:numPr>
            <w:tabs>
              <w:tab w:val="left" w:pos="630"/>
            </w:tabs>
          </w:pPr>
          <w:r>
            <w:t>本期实际核销的应收</w:t>
          </w:r>
          <w:r>
            <w:rPr>
              <w:rFonts w:hint="eastAsia"/>
            </w:rPr>
            <w:t>账款</w:t>
          </w:r>
          <w:r>
            <w:t>情况</w:t>
          </w:r>
        </w:p>
        <w:sdt>
          <w:sdtPr>
            <w:alias w:val="是否适用：母公司本期实际核销的应收账款情况[双击切换]"/>
            <w:tag w:val="_GBC_a8b9861b74fa43bdb4a98d13449f8f5e"/>
            <w:id w:val="2515633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pPr>
        </w:p>
      </w:sdtContent>
    </w:sdt>
    <w:p>
      <w:pPr>
        <w:pStyle w:val="76"/>
        <w:snapToGrid w:val="0"/>
        <w:spacing w:line="240" w:lineRule="atLeast"/>
        <w:ind w:left="-105" w:leftChars="-50"/>
        <w:rPr>
          <w:szCs w:val="21"/>
        </w:rPr>
      </w:pPr>
    </w:p>
    <w:sdt>
      <w:sdtPr>
        <w:rPr>
          <w:rFonts w:hint="eastAsia" w:ascii="宋体" w:hAnsi="宋体" w:cs="宋体"/>
          <w:b w:val="0"/>
          <w:bCs w:val="0"/>
          <w:kern w:val="0"/>
          <w:szCs w:val="24"/>
        </w:rPr>
        <w:alias w:val="模块:按欠款方归集的期末余额前五名的应收账款情况"/>
        <w:tag w:val="_GBC_60192a235b1d4a9bb5f69fafe3ab6f87"/>
        <w:id w:val="25156341"/>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94"/>
            </w:numPr>
            <w:tabs>
              <w:tab w:val="left" w:pos="630"/>
            </w:tabs>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25156340"/>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sdtContent>
    </w:sdt>
    <w:sdt>
      <w:sdtPr>
        <w:rPr>
          <w:rFonts w:hint="eastAsia" w:ascii="Times New Roman" w:hAnsi="Times New Roman" w:cs="宋体"/>
          <w:b w:val="0"/>
          <w:bCs w:val="0"/>
          <w:kern w:val="0"/>
          <w:szCs w:val="24"/>
        </w:rPr>
        <w:alias w:val="模块:因金融资产转移而终止确认的应收账款"/>
        <w:tag w:val="_GBC_ab73666b561d47cbb383aa21715b406f"/>
        <w:id w:val="2515634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94"/>
            </w:numPr>
            <w:tabs>
              <w:tab w:val="left" w:pos="630"/>
            </w:tabs>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25156342"/>
            <w:lock w:val="sdtContentLocked"/>
            <w:placeholder>
              <w:docPart w:val="GBC22222222222222222222222222222"/>
            </w:placeholder>
          </w:sdtPr>
          <w:sdtEndPr>
            <w:rPr>
              <w:rFonts w:hint="eastAsia"/>
              <w:szCs w:val="21"/>
            </w:rPr>
          </w:sdtEndPr>
          <w:sdtContent>
            <w:p>
              <w:pPr>
                <w:pStyle w:val="76"/>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snapToGrid w:val="0"/>
            <w:spacing w:line="240" w:lineRule="atLeast"/>
            <w:rPr>
              <w:rFonts w:ascii="Times New Roman" w:hAnsi="Times New Roman"/>
            </w:rPr>
          </w:pPr>
        </w:p>
      </w:sdtContent>
    </w:sdt>
    <w:sdt>
      <w:sdtPr>
        <w:rPr>
          <w:rFonts w:hint="eastAsia" w:ascii="Times New Roman" w:hAnsi="Times New Roman" w:cs="宋体"/>
          <w:b w:val="0"/>
          <w:bCs w:val="0"/>
          <w:kern w:val="0"/>
          <w:szCs w:val="24"/>
        </w:rPr>
        <w:alias w:val="模块:转移应收账款且继续涉入的，分项列示继续涉入形成的资产、负债的金额"/>
        <w:tag w:val="_GBC_0fefb2630375419f8e496c310f6ec9ee"/>
        <w:id w:val="25156345"/>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94"/>
            </w:numPr>
            <w:tabs>
              <w:tab w:val="left" w:pos="630"/>
            </w:tabs>
            <w:rPr>
              <w:rFonts w:ascii="宋体" w:hAnsi="宋体"/>
            </w:rPr>
          </w:pPr>
          <w:r>
            <w:rPr>
              <w:rFonts w:hint="eastAsia" w:ascii="宋体" w:hAnsi="宋体"/>
              <w:kern w:val="0"/>
              <w:szCs w:val="21"/>
            </w:rPr>
            <w:t>转移应收账款且</w:t>
          </w:r>
          <w:r>
            <w:rPr>
              <w:rFonts w:hint="eastAsia" w:ascii="宋体" w:hAnsi="宋体"/>
            </w:rPr>
            <w:t>继续</w:t>
          </w:r>
          <w:r>
            <w:rPr>
              <w:rFonts w:hint="eastAsia" w:ascii="宋体" w:hAnsi="宋体"/>
              <w:kern w:val="0"/>
              <w:szCs w:val="21"/>
            </w:rPr>
            <w:t>涉入形成的资产、负债金额</w:t>
          </w:r>
          <w:r>
            <w:rPr>
              <w:rFonts w:hint="eastAsia" w:ascii="宋体" w:hAnsi="宋体"/>
              <w:szCs w:val="21"/>
            </w:rPr>
            <w:t>：</w:t>
          </w:r>
        </w:p>
        <w:sdt>
          <w:sdtPr>
            <w:rPr>
              <w:rFonts w:hint="eastAsia"/>
            </w:rPr>
            <w:alias w:val="是否适用：母公司转移应收账款且继续涉入形成的资产、负债金额[双击切换]"/>
            <w:tag w:val="_GBC_18ab0f336ea34b009b496f240cc35a39"/>
            <w:id w:val="25156344"/>
            <w:lock w:val="sdtContentLocked"/>
            <w:placeholder>
              <w:docPart w:val="GBC22222222222222222222222222222"/>
            </w:placeholder>
          </w:sdtPr>
          <w:sdtEndPr>
            <w:rPr>
              <w:rFonts w:hint="eastAsia"/>
            </w:rPr>
          </w:sdtEndPr>
          <w:sdtContent>
            <w:p>
              <w:pPr>
                <w:pStyle w:val="76"/>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snapToGrid w:val="0"/>
        <w:spacing w:line="240" w:lineRule="atLeast"/>
        <w:ind w:left="-105" w:leftChars="-50"/>
        <w:rPr>
          <w:rFonts w:ascii="Times New Roman" w:hAnsi="Times New Roman"/>
        </w:rPr>
      </w:pPr>
    </w:p>
    <w:sdt>
      <w:sdtPr>
        <w:rPr>
          <w:rFonts w:hint="eastAsia" w:ascii="Times New Roman" w:hAnsi="Times New Roman"/>
          <w:b/>
          <w:bCs/>
        </w:rPr>
        <w:alias w:val="模块:其他说明："/>
        <w:tag w:val="_GBC_eac4abdf299a4312a10e680c5fc79ef9"/>
        <w:id w:val="25156347"/>
        <w:lock w:val="sdtLocked"/>
        <w:placeholder>
          <w:docPart w:val="GBC22222222222222222222222222222"/>
        </w:placeholder>
      </w:sdtPr>
      <w:sdtEndPr>
        <w:rPr>
          <w:rFonts w:hint="default" w:ascii="Times New Roman" w:hAnsi="Times New Roman"/>
          <w:b w:val="0"/>
          <w:bCs w:val="0"/>
        </w:rPr>
      </w:sdtEndPr>
      <w:sdtContent>
        <w:p>
          <w:pPr>
            <w:pStyle w:val="76"/>
          </w:pPr>
          <w:r>
            <w:rPr>
              <w:rFonts w:hint="eastAsia"/>
            </w:rPr>
            <w:t>其他</w:t>
          </w:r>
          <w:r>
            <w:t>说明：</w:t>
          </w:r>
        </w:p>
        <w:sdt>
          <w:sdtPr>
            <w:rPr>
              <w:rFonts w:hint="eastAsia"/>
            </w:rPr>
            <w:alias w:val="是否适用：母公司应收账款其他说明[双击切换]"/>
            <w:tag w:val="_GBC_22a2c0a255e04aacadf1c076323bc980"/>
            <w:id w:val="25156346"/>
            <w:lock w:val="sdtContentLocked"/>
            <w:placeholder>
              <w:docPart w:val="GBC22222222222222222222222222222"/>
            </w:placeholder>
          </w:sdtPr>
          <w:sdtEndPr>
            <w:rPr>
              <w:rFonts w:hint="eastAsia"/>
            </w:rPr>
          </w:sdtEndPr>
          <w:sdtContent>
            <w:p>
              <w:pPr>
                <w:pStyle w:val="7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9"/>
        <w:numPr>
          <w:ilvl w:val="0"/>
          <w:numId w:val="93"/>
        </w:numPr>
        <w:rPr>
          <w:rFonts w:ascii="宋体" w:hAnsi="宋体"/>
          <w:szCs w:val="21"/>
        </w:rPr>
      </w:pPr>
      <w:r>
        <w:rPr>
          <w:rFonts w:hint="eastAsia" w:ascii="宋体" w:hAnsi="宋体"/>
          <w:szCs w:val="21"/>
        </w:rPr>
        <w:t>其他应收款</w:t>
      </w:r>
    </w:p>
    <w:sdt>
      <w:sdtPr>
        <w:rPr>
          <w:rFonts w:ascii="宋体" w:hAnsi="宋体" w:cstheme="minorBidi"/>
          <w:b w:val="0"/>
          <w:bCs w:val="0"/>
          <w:kern w:val="0"/>
          <w:szCs w:val="21"/>
        </w:rPr>
        <w:alias w:val="模块:其他应收款分类披露"/>
        <w:tag w:val="_GBC_5eba58c6d1994af2bc8a413fdb6fbf2c"/>
        <w:id w:val="25156349"/>
        <w:lock w:val="sdtLocked"/>
        <w:placeholder>
          <w:docPart w:val="GBC22222222222222222222222222222"/>
        </w:placeholder>
      </w:sdtPr>
      <w:sdtEndPr>
        <w:rPr>
          <w:rFonts w:ascii="宋体" w:hAnsi="宋体" w:cstheme="minorBidi"/>
          <w:b w:val="0"/>
          <w:bCs w:val="0"/>
          <w:kern w:val="0"/>
          <w:szCs w:val="21"/>
        </w:rPr>
      </w:sdtEndPr>
      <w:sdtContent>
        <w:p>
          <w:pPr>
            <w:pStyle w:val="80"/>
            <w:numPr>
              <w:ilvl w:val="0"/>
              <w:numId w:val="95"/>
            </w:numPr>
            <w:rPr>
              <w:rFonts w:ascii="宋体" w:hAnsi="宋体"/>
              <w:szCs w:val="21"/>
            </w:rPr>
          </w:pPr>
          <w:r>
            <w:rPr>
              <w:rFonts w:ascii="宋体" w:hAnsi="宋体"/>
              <w:szCs w:val="21"/>
            </w:rPr>
            <w:t>其他应收款</w:t>
          </w:r>
          <w:r>
            <w:rPr>
              <w:rFonts w:hint="eastAsia" w:ascii="宋体" w:hAnsi="宋体"/>
              <w:szCs w:val="21"/>
            </w:rPr>
            <w:t>分</w:t>
          </w:r>
          <w:r>
            <w:rPr>
              <w:rFonts w:ascii="宋体" w:hAnsi="宋体"/>
              <w:szCs w:val="21"/>
            </w:rPr>
            <w:t>类</w:t>
          </w:r>
          <w:r>
            <w:rPr>
              <w:rFonts w:hint="eastAsia" w:ascii="宋体" w:hAnsi="宋体"/>
              <w:szCs w:val="21"/>
            </w:rPr>
            <w:t>披露</w:t>
          </w:r>
          <w:r>
            <w:rPr>
              <w:rFonts w:ascii="宋体" w:hAnsi="宋体"/>
              <w:szCs w:val="21"/>
            </w:rPr>
            <w:t>：</w:t>
          </w:r>
        </w:p>
        <w:sdt>
          <w:sdtPr>
            <w:alias w:val="是否适用：母公司其他应收款分类披露[双击切换]"/>
            <w:tag w:val="_GBC_cf76f16fc5604c2d8117783d6f166c38"/>
            <w:id w:val="25156348"/>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期末单项金额重大并单项计提坏账准备的其他应收款"/>
        <w:tag w:val="_GBC_caea0b13e636429d96ab6e2bffd5aeb0"/>
        <w:id w:val="25156351"/>
        <w:lock w:val="sdtLocked"/>
        <w:placeholder>
          <w:docPart w:val="GBC22222222222222222222222222222"/>
        </w:placeholder>
      </w:sdtPr>
      <w:sdtEndPr>
        <w:rPr>
          <w:szCs w:val="21"/>
        </w:rPr>
      </w:sdtEndPr>
      <w:sdtContent>
        <w:p>
          <w:pPr>
            <w:pStyle w:val="76"/>
            <w:spacing w:before="60" w:after="60"/>
            <w:rPr>
              <w:szCs w:val="21"/>
            </w:rPr>
          </w:pPr>
          <w:r>
            <w:rPr>
              <w:szCs w:val="21"/>
            </w:rPr>
            <w:t>期末单项金额</w:t>
          </w:r>
          <w:r>
            <w:rPr>
              <w:rFonts w:hint="eastAsia"/>
              <w:szCs w:val="21"/>
            </w:rPr>
            <w:t>重大并单项计提坏账准备</w:t>
          </w:r>
          <w:r>
            <w:rPr>
              <w:szCs w:val="21"/>
            </w:rPr>
            <w:t>的其他应收款</w:t>
          </w:r>
          <w:r>
            <w:rPr>
              <w:rFonts w:hint="eastAsia"/>
              <w:szCs w:val="21"/>
            </w:rPr>
            <w:t>：</w:t>
          </w:r>
        </w:p>
        <w:sdt>
          <w:sdtPr>
            <w:rPr>
              <w:rFonts w:hint="eastAsia"/>
              <w:szCs w:val="21"/>
            </w:rPr>
            <w:alias w:val="是否适用：母公司单项金额重大并单项计提坏帐准备的其他应收账款[双击切换]"/>
            <w:tag w:val="_GBC_0dc191e0f6174f54b58977bc6f619bdf"/>
            <w:id w:val="25156350"/>
            <w:lock w:val="sdtContentLocked"/>
            <w:placeholder>
              <w:docPart w:val="GBC22222222222222222222222222222"/>
            </w:placeholder>
          </w:sdtPr>
          <w:sdtEndPr>
            <w:rPr>
              <w:rFonts w:hint="eastAsia"/>
              <w:szCs w:val="21"/>
            </w:rPr>
          </w:sdtEndPr>
          <w:sdtContent>
            <w:p>
              <w:pPr>
                <w:pStyle w:val="76"/>
                <w:rPr>
                  <w:szCs w:val="21"/>
                </w:rPr>
              </w:pPr>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按账龄分析法计提坏账准备的其他应收款"/>
        <w:tag w:val="_GBC_7633445fb4f445e9a99e716971900a22"/>
        <w:id w:val="25156353"/>
        <w:lock w:val="sdtLocked"/>
        <w:placeholder>
          <w:docPart w:val="GBC22222222222222222222222222222"/>
        </w:placeholder>
      </w:sdtPr>
      <w:sdtEndPr>
        <w:rPr>
          <w:szCs w:val="21"/>
        </w:rPr>
      </w:sdtEndPr>
      <w:sdtContent>
        <w:p>
          <w:pPr>
            <w:pStyle w:val="76"/>
            <w:spacing w:before="60" w:after="60"/>
            <w:rPr>
              <w:szCs w:val="21"/>
            </w:rPr>
          </w:pPr>
          <w:r>
            <w:rPr>
              <w:rFonts w:hint="eastAsia"/>
              <w:szCs w:val="21"/>
            </w:rPr>
            <w:t>组合中，按账龄分析法计提坏账准备的其他应收款：</w:t>
          </w:r>
        </w:p>
        <w:p>
          <w:pPr>
            <w:pStyle w:val="76"/>
            <w:tabs>
              <w:tab w:val="left" w:pos="9720"/>
            </w:tabs>
            <w:ind w:right="-1413" w:rightChars="-673"/>
            <w:rPr>
              <w:szCs w:val="21"/>
            </w:rPr>
          </w:pPr>
          <w:sdt>
            <w:sdtPr>
              <w:rPr>
                <w:rFonts w:hint="eastAsia"/>
                <w:szCs w:val="21"/>
              </w:rPr>
              <w:alias w:val="是否适用：母公司组合中，按账龄分析法计提坏账准备的其他应收账款[双击切换]"/>
              <w:tag w:val="_GBC_b8ebebf3180a48e4b61282a3ad0f26ab"/>
              <w:id w:val="25156352"/>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pStyle w:val="76"/>
            <w:rPr>
              <w:szCs w:val="21"/>
            </w:rPr>
          </w:pPr>
        </w:p>
        <w:p>
          <w:pPr>
            <w:pStyle w:val="76"/>
            <w:rPr>
              <w:szCs w:val="21"/>
            </w:rPr>
          </w:pPr>
        </w:p>
      </w:sdtContent>
    </w:sdt>
    <w:sdt>
      <w:sdtPr>
        <w:rPr>
          <w:szCs w:val="21"/>
        </w:rPr>
        <w:alias w:val="模块:组合中，采用余额百分比法计提坏账准备的其他应收款"/>
        <w:tag w:val="_GBC_05f8c9f11b8c4595a6380f2f337f34c8"/>
        <w:id w:val="25156355"/>
        <w:lock w:val="sdtLocked"/>
        <w:placeholder>
          <w:docPart w:val="GBC22222222222222222222222222222"/>
        </w:placeholder>
      </w:sdtPr>
      <w:sdtEndPr>
        <w:rPr>
          <w:szCs w:val="21"/>
        </w:rPr>
      </w:sdtEndPr>
      <w:sdtContent>
        <w:p>
          <w:pPr>
            <w:pStyle w:val="76"/>
            <w:spacing w:before="60" w:after="60"/>
            <w:rPr>
              <w:szCs w:val="21"/>
            </w:rPr>
          </w:pPr>
          <w:r>
            <w:rPr>
              <w:rFonts w:hint="eastAsia"/>
              <w:szCs w:val="21"/>
            </w:rPr>
            <w:t>组合中，采用余额百分比法计提坏账准备的其他应收款：</w:t>
          </w:r>
        </w:p>
        <w:sdt>
          <w:sdtPr>
            <w:rPr>
              <w:szCs w:val="21"/>
            </w:rPr>
            <w:alias w:val="是否适用：母公司组合中，采用余额百分比法计提坏账准备的其他应收账款[双击切换]"/>
            <w:tag w:val="_GBC_fd6f8dd8b0db499f829b29e121a6fd95"/>
            <w:id w:val="25156354"/>
            <w:lock w:val="sdtContentLocked"/>
            <w:placeholder>
              <w:docPart w:val="GBC22222222222222222222222222222"/>
            </w:placeholder>
          </w:sdtPr>
          <w:sdtEndPr>
            <w:rPr>
              <w:szCs w:val="21"/>
            </w:rPr>
          </w:sdtEndPr>
          <w:sdtContent>
            <w:p>
              <w:pPr>
                <w:pStyle w:val="76"/>
                <w:tabs>
                  <w:tab w:val="left" w:pos="9720"/>
                </w:tabs>
                <w:ind w:right="-1413" w:rightChars="-673"/>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pStyle w:val="76"/>
            <w:rPr>
              <w:szCs w:val="21"/>
            </w:rPr>
          </w:pPr>
        </w:p>
        <w:p>
          <w:pPr>
            <w:pStyle w:val="76"/>
            <w:rPr>
              <w:szCs w:val="21"/>
            </w:rPr>
          </w:pPr>
        </w:p>
      </w:sdtContent>
    </w:sdt>
    <w:sdt>
      <w:sdtPr>
        <w:rPr>
          <w:szCs w:val="21"/>
        </w:rPr>
        <w:alias w:val="模块:组合中，采用其他方法计提坏账准备的其他应收款"/>
        <w:tag w:val="_GBC_a5e67ce8345a4a69b6cd65bd1a534d71"/>
        <w:id w:val="25156357"/>
        <w:lock w:val="sdtLocked"/>
        <w:placeholder>
          <w:docPart w:val="GBC22222222222222222222222222222"/>
        </w:placeholder>
      </w:sdtPr>
      <w:sdtEndPr>
        <w:rPr>
          <w:szCs w:val="21"/>
        </w:rPr>
      </w:sdtEndPr>
      <w:sdtContent>
        <w:p>
          <w:pPr>
            <w:pStyle w:val="76"/>
            <w:spacing w:before="60" w:after="60"/>
            <w:rPr>
              <w:szCs w:val="21"/>
            </w:rPr>
          </w:pPr>
          <w:r>
            <w:rPr>
              <w:rFonts w:hint="eastAsia"/>
              <w:szCs w:val="21"/>
            </w:rPr>
            <w:t>组合中，采用其他方法计提坏账准备的其他应收款：</w:t>
          </w:r>
        </w:p>
        <w:sdt>
          <w:sdtPr>
            <w:rPr>
              <w:szCs w:val="21"/>
            </w:rPr>
            <w:alias w:val="是否适用：母公司采用其他方法计提坏账准备的其他应收款[双击切换]"/>
            <w:tag w:val="_GBC_e6ad514ba2114dd4b9a161dde1738839"/>
            <w:id w:val="25156356"/>
            <w:lock w:val="sdtContentLocked"/>
            <w:placeholder>
              <w:docPart w:val="GBC22222222222222222222222222222"/>
            </w:placeholder>
          </w:sdtPr>
          <w:sdtEndPr>
            <w:rPr>
              <w:szCs w:val="21"/>
            </w:rPr>
          </w:sdtEndPr>
          <w:sdtContent>
            <w:p>
              <w:pPr>
                <w:pStyle w:val="76"/>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76"/>
        <w:rPr>
          <w:szCs w:val="21"/>
        </w:rPr>
      </w:pPr>
    </w:p>
    <w:sdt>
      <w:sdtPr>
        <w:rPr>
          <w:rFonts w:ascii="宋体" w:hAnsi="宋体" w:cs="宋体"/>
          <w:b w:val="0"/>
          <w:bCs w:val="0"/>
          <w:kern w:val="0"/>
          <w:szCs w:val="24"/>
        </w:rPr>
        <w:alias w:val="模块:本期转回或收回情况"/>
        <w:tag w:val="_GBC_84be6eef0da64b17b21c4f88ae994780"/>
        <w:id w:val="25156361"/>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95"/>
            </w:numPr>
          </w:pPr>
          <w:r>
            <w:rPr>
              <w:rFonts w:hint="eastAsia"/>
            </w:rPr>
            <w:t>本期</w:t>
          </w:r>
          <w:r>
            <w:rPr>
              <w:rFonts w:hint="eastAsia" w:ascii="宋体" w:hAnsi="宋体"/>
              <w:szCs w:val="21"/>
            </w:rPr>
            <w:t>计提</w:t>
          </w:r>
          <w:r>
            <w:rPr>
              <w:rFonts w:hint="eastAsia"/>
            </w:rPr>
            <w:t>、收回或转回的坏账准备情况：</w:t>
          </w:r>
        </w:p>
        <w:sdt>
          <w:sdtPr>
            <w:alias w:val="是否适用：母公司其中本期其他应收账款坏账准备收回或转回金额重要的[双击切换]"/>
            <w:tag w:val="_GBC_cb012ba9b90643769642532a2f171759"/>
            <w:id w:val="25156360"/>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ind w:right="25" w:rightChars="12"/>
          </w:pPr>
        </w:p>
        <w:p>
          <w:pPr>
            <w:pStyle w:val="76"/>
            <w:snapToGrid w:val="0"/>
            <w:spacing w:line="240" w:lineRule="atLeast"/>
            <w:ind w:right="25" w:rightChars="12"/>
            <w:rPr>
              <w:szCs w:val="21"/>
            </w:rPr>
          </w:pPr>
        </w:p>
      </w:sdtContent>
    </w:sdt>
    <w:p>
      <w:pPr>
        <w:pStyle w:val="76"/>
        <w:ind w:right="-1594" w:rightChars="-759"/>
        <w:rPr>
          <w:szCs w:val="21"/>
        </w:rPr>
      </w:pPr>
    </w:p>
    <w:sdt>
      <w:sdtPr>
        <w:rPr>
          <w:rFonts w:hint="eastAsia" w:cs="宋体" w:asciiTheme="minorHAnsi" w:hAnsiTheme="minorHAnsi"/>
          <w:b w:val="0"/>
          <w:bCs w:val="0"/>
          <w:kern w:val="0"/>
          <w:szCs w:val="22"/>
        </w:rPr>
        <w:alias w:val="模块:本报告期实际核销的其他应收款情况"/>
        <w:tag w:val="_GBC_b3db905bb6d4425596d9888976709d96"/>
        <w:id w:val="25156363"/>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80"/>
            <w:numPr>
              <w:ilvl w:val="0"/>
              <w:numId w:val="95"/>
            </w:numPr>
          </w:pPr>
          <w:r>
            <w:rPr>
              <w:rFonts w:hint="eastAsia"/>
            </w:rPr>
            <w:t>本期实际核销的其他应收款情况</w:t>
          </w:r>
        </w:p>
        <w:sdt>
          <w:sdtPr>
            <w:alias w:val="是否适用：母公司本期实际核销的其他应收款情况[双击切换]"/>
            <w:tag w:val="_GBC_dd1095756d2b471688ce5b700380fafc"/>
            <w:id w:val="2515636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rPr>
              <w:szCs w:val="21"/>
            </w:rPr>
          </w:pPr>
        </w:p>
        <w:p>
          <w:pPr>
            <w:pStyle w:val="76"/>
          </w:pPr>
        </w:p>
      </w:sdtContent>
    </w:sdt>
    <w:sdt>
      <w:sdtPr>
        <w:rPr>
          <w:rFonts w:hint="eastAsia" w:ascii="宋体" w:hAnsi="宋体" w:cs="宋体"/>
          <w:b w:val="0"/>
          <w:bCs w:val="0"/>
          <w:kern w:val="0"/>
          <w:szCs w:val="24"/>
        </w:rPr>
        <w:alias w:val="模块:其他应收款按款项性质分类情况"/>
        <w:tag w:val="_GBC_c9f7dc8489b74105a28800b5cfad23af"/>
        <w:id w:val="25156365"/>
        <w:lock w:val="sdtLocked"/>
        <w:placeholder>
          <w:docPart w:val="GBC22222222222222222222222222222"/>
        </w:placeholder>
      </w:sdtPr>
      <w:sdtEndPr>
        <w:rPr>
          <w:rFonts w:hint="eastAsia" w:ascii="宋体" w:hAnsi="宋体" w:cs="宋体"/>
          <w:b w:val="0"/>
          <w:bCs w:val="0"/>
          <w:kern w:val="0"/>
          <w:szCs w:val="24"/>
        </w:rPr>
      </w:sdtEndPr>
      <w:sdtContent>
        <w:p>
          <w:pPr>
            <w:pStyle w:val="80"/>
            <w:numPr>
              <w:ilvl w:val="0"/>
              <w:numId w:val="95"/>
            </w:numPr>
          </w:pPr>
          <w:r>
            <w:rPr>
              <w:rFonts w:hint="eastAsia"/>
            </w:rPr>
            <w:t>其他应收款按款项性质分类情况</w:t>
          </w:r>
        </w:p>
        <w:sdt>
          <w:sdtPr>
            <w:alias w:val="是否适用：母公司其他应收款按款项性质分类情况[双击切换]"/>
            <w:tag w:val="_GBC_101fec10ac1f41f39330610cac041192"/>
            <w:id w:val="25156364"/>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按欠款方归集的期末余额前五名的其他应收款情况"/>
        <w:tag w:val="_GBC_c77f7efeabc1402191807946a9bfe714"/>
        <w:id w:val="25156367"/>
        <w:lock w:val="sdtLocked"/>
        <w:placeholder>
          <w:docPart w:val="GBC22222222222222222222222222222"/>
        </w:placeholder>
      </w:sdtPr>
      <w:sdtEndPr>
        <w:rPr>
          <w:rFonts w:hint="default" w:ascii="宋体" w:hAnsi="宋体" w:cs="宋体"/>
          <w:b w:val="0"/>
          <w:bCs w:val="0"/>
          <w:kern w:val="0"/>
          <w:szCs w:val="21"/>
        </w:rPr>
      </w:sdtEndPr>
      <w:sdtContent>
        <w:p>
          <w:pPr>
            <w:pStyle w:val="80"/>
            <w:numPr>
              <w:ilvl w:val="0"/>
              <w:numId w:val="95"/>
            </w:numPr>
          </w:pPr>
          <w:r>
            <w:rPr>
              <w:rFonts w:hint="eastAsia"/>
            </w:rPr>
            <w:t>按欠款方归集的期末余额前五名的其他应收款情况：</w:t>
          </w:r>
        </w:p>
        <w:p>
          <w:pPr>
            <w:pStyle w:val="76"/>
          </w:pPr>
          <w:sdt>
            <w:sdtPr>
              <w:alias w:val="是否适用：母公司按欠款方归集的期末余额前五名的其他应收款情况[双击切换]"/>
              <w:tag w:val="_GBC_c31bd7806af645a4b98780e353753bee"/>
              <w:id w:val="25156366"/>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Times New Roman" w:hAnsi="Times New Roman" w:cs="宋体"/>
          <w:b w:val="0"/>
          <w:bCs w:val="0"/>
          <w:kern w:val="0"/>
          <w:szCs w:val="24"/>
        </w:rPr>
        <w:alias w:val="模块:按应收金额确认的政府补助"/>
        <w:tag w:val="_GBC_52bd0b171cc64f85aa1100213c81523c"/>
        <w:id w:val="25156369"/>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95"/>
            </w:numPr>
          </w:pPr>
          <w:r>
            <w:rPr>
              <w:rFonts w:hint="eastAsia"/>
            </w:rPr>
            <w:t>涉及政府补助的应收款项</w:t>
          </w:r>
        </w:p>
        <w:sdt>
          <w:sdtPr>
            <w:alias w:val="是否适用：母公司涉及政府补助的应收款项[双击切换]"/>
            <w:tag w:val="_GBC_42f77b49fc014baab239badfde6e4fcf"/>
            <w:id w:val="25156368"/>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snapToGrid w:val="0"/>
            <w:spacing w:line="240" w:lineRule="atLeast"/>
          </w:pPr>
        </w:p>
        <w:p>
          <w:pPr>
            <w:pStyle w:val="76"/>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338c72ace78c4ba79d60f19b8dbabe9a"/>
        <w:id w:val="25156371"/>
        <w:lock w:val="sdtLocked"/>
        <w:placeholder>
          <w:docPart w:val="GBC22222222222222222222222222222"/>
        </w:placeholder>
      </w:sdtPr>
      <w:sdtEndPr>
        <w:rPr>
          <w:rFonts w:ascii="Times New Roman" w:hAnsi="Times New Roman" w:cs="宋体"/>
          <w:b w:val="0"/>
          <w:bCs w:val="0"/>
          <w:kern w:val="0"/>
          <w:szCs w:val="24"/>
        </w:rPr>
      </w:sdtEndPr>
      <w:sdtContent>
        <w:p>
          <w:pPr>
            <w:pStyle w:val="80"/>
            <w:numPr>
              <w:ilvl w:val="0"/>
              <w:numId w:val="95"/>
            </w:numPr>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25156370"/>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Times New Roman" w:hAnsi="Times New Roman" w:cs="宋体"/>
          <w:b w:val="0"/>
          <w:bCs w:val="0"/>
          <w:kern w:val="0"/>
          <w:szCs w:val="24"/>
        </w:rPr>
        <w:alias w:val="模块:转移其他应收款且继续涉入的，分项列示继续涉入形成的资产、负债..."/>
        <w:tag w:val="_GBC_86d729c7494a406ba4f51afb2c881955"/>
        <w:id w:val="2515637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80"/>
            <w:numPr>
              <w:ilvl w:val="0"/>
              <w:numId w:val="95"/>
            </w:numPr>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25156372"/>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sdt>
      <w:sdtPr>
        <w:rPr>
          <w:rFonts w:hint="eastAsia" w:ascii="Times New Roman" w:hAnsi="Times New Roman"/>
          <w:b/>
          <w:bCs/>
        </w:rPr>
        <w:alias w:val="模块:其他应收款其他说明"/>
        <w:tag w:val="_GBC_4b6cd384bee54ff79269fa4457c70d49"/>
        <w:id w:val="25156375"/>
        <w:lock w:val="sdtLocked"/>
        <w:placeholder>
          <w:docPart w:val="GBC22222222222222222222222222222"/>
        </w:placeholder>
      </w:sdtPr>
      <w:sdtEndPr>
        <w:rPr>
          <w:rFonts w:hint="eastAsia" w:ascii="Times New Roman" w:hAnsi="Times New Roman"/>
          <w:b w:val="0"/>
          <w:bCs w:val="0"/>
        </w:rPr>
      </w:sdtEndPr>
      <w:sdtContent>
        <w:p>
          <w:pPr>
            <w:pStyle w:val="76"/>
          </w:pPr>
          <w:r>
            <w:rPr>
              <w:rFonts w:hint="eastAsia"/>
            </w:rPr>
            <w:t>其他</w:t>
          </w:r>
          <w:r>
            <w:t>说明：</w:t>
          </w:r>
        </w:p>
        <w:sdt>
          <w:sdtPr>
            <w:alias w:val="是否适用：母公司其他应收款的其他说明[双击切换]"/>
            <w:tag w:val="_GBC_2e0f632cbc7d4916b89bf8824f4b71f0"/>
            <w:id w:val="25156374"/>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9"/>
        <w:numPr>
          <w:ilvl w:val="0"/>
          <w:numId w:val="93"/>
        </w:numPr>
        <w:rPr>
          <w:rFonts w:ascii="宋体" w:hAnsi="宋体"/>
          <w:szCs w:val="21"/>
        </w:rPr>
      </w:pPr>
      <w:r>
        <w:rPr>
          <w:rFonts w:hint="eastAsia" w:ascii="宋体" w:hAnsi="宋体"/>
          <w:szCs w:val="21"/>
        </w:rPr>
        <w:t>长期股权投资</w:t>
      </w:r>
    </w:p>
    <w:sdt>
      <w:sdtPr>
        <w:alias w:val="是否适用：母公司长期股权投资[双击切换]"/>
        <w:tag w:val="_GBC_61071b9a58624e83bfc4232808751b95"/>
        <w:id w:val="25156376"/>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
      <w:sdtPr>
        <w:rPr>
          <w:rFonts w:hint="eastAsia" w:ascii="宋体" w:hAnsi="宋体" w:cs="宋体"/>
          <w:b w:val="0"/>
          <w:bCs w:val="0"/>
          <w:kern w:val="0"/>
          <w:szCs w:val="24"/>
        </w:rPr>
        <w:alias w:val="模块:营业收入"/>
        <w:tag w:val="_GBC_3e554af10dd94ca48e7c539d57469752"/>
        <w:id w:val="25156378"/>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93"/>
            </w:numPr>
          </w:pPr>
          <w:r>
            <w:rPr>
              <w:rFonts w:hint="eastAsia"/>
            </w:rPr>
            <w:t>营业收入和营业成本：</w:t>
          </w:r>
        </w:p>
        <w:sdt>
          <w:sdtPr>
            <w:alias w:val="是否适用：母公司营业收入和营业成本[双击切换]"/>
            <w:tag w:val="_GBC_f62d83b1068f4bfaae3a590b0ac9f4d7"/>
            <w:id w:val="25156377"/>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Content>
    </w:sdt>
    <w:p>
      <w:pPr>
        <w:pStyle w:val="76"/>
        <w:rPr>
          <w:szCs w:val="21"/>
        </w:rPr>
      </w:pPr>
    </w:p>
    <w:sdt>
      <w:sdtPr>
        <w:rPr>
          <w:rFonts w:hint="eastAsia" w:ascii="宋体" w:hAnsi="宋体" w:cs="宋体"/>
          <w:b w:val="0"/>
          <w:bCs w:val="0"/>
          <w:kern w:val="0"/>
          <w:szCs w:val="21"/>
        </w:rPr>
        <w:alias w:val="模块:投资收益"/>
        <w:tag w:val="_GBC_37e14b9a99354ddabdada6c32e471c96"/>
        <w:id w:val="25156380"/>
        <w:lock w:val="sdtLocked"/>
        <w:placeholder>
          <w:docPart w:val="GBC22222222222222222222222222222"/>
        </w:placeholder>
      </w:sdtPr>
      <w:sdtEndPr>
        <w:rPr>
          <w:rFonts w:hint="default" w:ascii="宋体" w:hAnsi="宋体" w:cs="宋体"/>
          <w:b w:val="0"/>
          <w:bCs w:val="0"/>
          <w:kern w:val="0"/>
          <w:szCs w:val="21"/>
        </w:rPr>
      </w:sdtEndPr>
      <w:sdtContent>
        <w:p>
          <w:pPr>
            <w:pStyle w:val="79"/>
            <w:numPr>
              <w:ilvl w:val="0"/>
              <w:numId w:val="93"/>
            </w:numPr>
            <w:rPr>
              <w:rFonts w:ascii="宋体" w:hAnsi="宋体"/>
              <w:szCs w:val="21"/>
            </w:rPr>
          </w:pPr>
          <w:bookmarkStart w:id="66" w:name="OLE_LINK6"/>
          <w:r>
            <w:rPr>
              <w:rFonts w:hint="eastAsia" w:ascii="宋体" w:hAnsi="宋体"/>
              <w:szCs w:val="21"/>
            </w:rPr>
            <w:t>投资收益</w:t>
          </w:r>
          <w:bookmarkEnd w:id="66"/>
        </w:p>
        <w:sdt>
          <w:sdtPr>
            <w:alias w:val="是否适用：母公司投资收益[双击切换]"/>
            <w:tag w:val="_GBC_bdba48f0322747499f6908fbbf78a16f"/>
            <w:id w:val="25156379"/>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母公司会计报表附注的其他说明事项"/>
        <w:tag w:val="_GBC_23958e5452684882b98c8317e400c8d6"/>
        <w:id w:val="25156382"/>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93"/>
            </w:numPr>
            <w:rPr>
              <w:szCs w:val="21"/>
            </w:rPr>
          </w:pPr>
          <w:r>
            <w:rPr>
              <w:rFonts w:hint="eastAsia"/>
              <w:szCs w:val="21"/>
            </w:rPr>
            <w:t>其他</w:t>
          </w:r>
        </w:p>
        <w:sdt>
          <w:sdtPr>
            <w:alias w:val="是否适用：母公司会计报表附注的其他说明事项[双击切换]"/>
            <w:tag w:val="_GBC_198503cdf8c8448ea7bb4de3243a4de8"/>
            <w:id w:val="25156381"/>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rPr>
          <w:szCs w:val="21"/>
        </w:rPr>
      </w:pPr>
    </w:p>
    <w:p>
      <w:pPr>
        <w:pStyle w:val="78"/>
        <w:numPr>
          <w:ilvl w:val="0"/>
          <w:numId w:val="34"/>
        </w:numPr>
        <w:rPr>
          <w:rFonts w:ascii="宋体" w:hAnsi="宋体"/>
        </w:rPr>
      </w:pPr>
      <w:r>
        <w:rPr>
          <w:rFonts w:hint="eastAsia" w:ascii="宋体" w:hAnsi="宋体"/>
        </w:rPr>
        <w:t>补充资料</w:t>
      </w:r>
    </w:p>
    <w:sdt>
      <w:sdtPr>
        <w:rPr>
          <w:rFonts w:hint="eastAsia" w:ascii="宋体" w:hAnsi="宋体" w:cs="宋体"/>
          <w:b w:val="0"/>
          <w:bCs w:val="0"/>
          <w:kern w:val="0"/>
          <w:szCs w:val="21"/>
        </w:rPr>
        <w:alias w:val="模块:当期非经常性损益明细"/>
        <w:tag w:val="_GBC_08eb8d7076584daebd23121ab43f25e0"/>
        <w:id w:val="25156422"/>
        <w:lock w:val="sdtLocked"/>
        <w:placeholder>
          <w:docPart w:val="GBC22222222222222222222222222222"/>
        </w:placeholder>
      </w:sdtPr>
      <w:sdtEndPr>
        <w:rPr>
          <w:rFonts w:hint="eastAsia" w:ascii="宋体" w:hAnsi="宋体" w:cs="宋体"/>
          <w:b w:val="0"/>
          <w:bCs w:val="0"/>
          <w:kern w:val="0"/>
          <w:szCs w:val="24"/>
        </w:rPr>
      </w:sdtEndPr>
      <w:sdtContent>
        <w:p>
          <w:pPr>
            <w:pStyle w:val="79"/>
            <w:numPr>
              <w:ilvl w:val="0"/>
              <w:numId w:val="96"/>
            </w:numPr>
            <w:rPr>
              <w:rFonts w:ascii="宋体" w:hAnsi="宋体"/>
              <w:szCs w:val="21"/>
            </w:rPr>
          </w:pPr>
          <w:r>
            <w:rPr>
              <w:rFonts w:hint="eastAsia" w:ascii="宋体" w:hAnsi="宋体"/>
              <w:szCs w:val="21"/>
            </w:rPr>
            <w:t>当期非经常性损益明细表</w:t>
          </w:r>
        </w:p>
        <w:sdt>
          <w:sdtPr>
            <w:alias w:val="是否适用：当期非经常性损益明细表[双击切换]"/>
            <w:tag w:val="_GBC_8fceb8da54a2446e9747e9ca62cb6a1a"/>
            <w:id w:val="25156383"/>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jc w:val="right"/>
            <w:rPr>
              <w:szCs w:val="21"/>
            </w:rPr>
          </w:pPr>
          <w:r>
            <w:rPr>
              <w:rFonts w:hint="eastAsia"/>
              <w:szCs w:val="21"/>
            </w:rPr>
            <w:t>单位：</w:t>
          </w:r>
          <w:sdt>
            <w:sdtPr>
              <w:rPr>
                <w:rFonts w:hint="eastAsia"/>
                <w:szCs w:val="21"/>
              </w:rPr>
              <w:alias w:val="单位：扣除非经常性损益项目和金额"/>
              <w:tag w:val="_GBC_5c7a78a144ce4f78943f6ba4db018dd1"/>
              <w:id w:val="25156384"/>
              <w:lock w:val="sdtLocked"/>
              <w:placeholder>
                <w:docPart w:val="GBC22222222222222222222222222222"/>
              </w:placeholder>
              <w15:dataBinding w:prefixMappings="xmlns:clcid-ci-ar='clcid-ci-ar'" w:xpath="/*/clcid-ci-ar:DanWeiKouChuFeiJingChangXingSunYiXiangMuHeJinE[not(@periodRef)]" w:storeItemID="{89EBAB94-44A0-46A2-B712-30D997D04A6D}"/>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5156385"/>
              <w:lock w:val="sdtLocked"/>
              <w:placeholder>
                <w:docPart w:val="GBC22222222222222222222222222222"/>
              </w:placeholder>
              <w15:dataBinding w:prefixMappings="xmlns:clcid-ci-ar='clcid-ci-ar'" w:xpath="/*/clcid-ci-ar:BiZhongKouChuFeiJingChangXingSunYiXiangMuHeJinE[not(@periodRef)]" w:storeItemID="{89EBAB94-44A0-46A2-B712-30D997D04A6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70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447086960c4639856414679d1dbf26"/>
                <w:id w:val="25156386"/>
                <w:lock w:val="sdtLocked"/>
              </w:sdtPr>
              <w:sdtContent>
                <w:tc>
                  <w:tcPr>
                    <w:tcW w:w="5495" w:type="dxa"/>
                    <w:shd w:val="clear" w:color="auto" w:fill="auto"/>
                    <w:vAlign w:val="center"/>
                  </w:tcPr>
                  <w:p>
                    <w:pPr>
                      <w:pStyle w:val="76"/>
                      <w:jc w:val="center"/>
                      <w:rPr>
                        <w:szCs w:val="21"/>
                      </w:rPr>
                    </w:pPr>
                    <w:r>
                      <w:rPr>
                        <w:rFonts w:hint="eastAsia"/>
                        <w:szCs w:val="21"/>
                      </w:rPr>
                      <w:t>项目</w:t>
                    </w:r>
                  </w:p>
                </w:tc>
              </w:sdtContent>
            </w:sdt>
            <w:sdt>
              <w:sdtPr>
                <w:tag w:val="_PLD_4124386579a74ebabf17d2fb03dfbacc"/>
                <w:id w:val="25156387"/>
                <w:lock w:val="sdtLocked"/>
              </w:sdtPr>
              <w:sdtContent>
                <w:tc>
                  <w:tcPr>
                    <w:tcW w:w="1701" w:type="dxa"/>
                    <w:shd w:val="clear" w:color="auto" w:fill="auto"/>
                  </w:tcPr>
                  <w:p>
                    <w:pPr>
                      <w:pStyle w:val="76"/>
                      <w:jc w:val="center"/>
                      <w:rPr>
                        <w:szCs w:val="21"/>
                      </w:rPr>
                    </w:pPr>
                    <w:r>
                      <w:rPr>
                        <w:rFonts w:hint="eastAsia"/>
                        <w:szCs w:val="21"/>
                      </w:rPr>
                      <w:t>金额</w:t>
                    </w:r>
                  </w:p>
                </w:tc>
              </w:sdtContent>
            </w:sdt>
            <w:sdt>
              <w:sdtPr>
                <w:tag w:val="_PLD_d8bc4effaf7140f69603e5c1fdd518e2"/>
                <w:id w:val="25156388"/>
                <w:lock w:val="sdtLocked"/>
              </w:sdtPr>
              <w:sdtContent>
                <w:tc>
                  <w:tcPr>
                    <w:tcW w:w="1853" w:type="dxa"/>
                  </w:tcPr>
                  <w:p>
                    <w:pPr>
                      <w:pStyle w:val="76"/>
                      <w:jc w:val="center"/>
                      <w:rPr>
                        <w:szCs w:val="21"/>
                      </w:rPr>
                    </w:pPr>
                    <w:r>
                      <w:rPr>
                        <w:rFonts w:hint="eastAsia"/>
                        <w:szCs w:val="21"/>
                      </w:rPr>
                      <w:t>说明</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c284eee58641a284682b8ca51165ce"/>
                <w:id w:val="25156389"/>
                <w:lock w:val="sdtLocked"/>
              </w:sdtPr>
              <w:sdtContent>
                <w:tc>
                  <w:tcPr>
                    <w:tcW w:w="5495" w:type="dxa"/>
                    <w:shd w:val="clear" w:color="auto" w:fill="auto"/>
                    <w:vAlign w:val="center"/>
                  </w:tcPr>
                  <w:p>
                    <w:pPr>
                      <w:pStyle w:val="76"/>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25156390"/>
                <w:lock w:val="sdtLocked"/>
                <w:showingPlcHdr/>
                <w15:dataBinding w:prefixMappings="xmlns:clcid-pte='clcid-pte'" w:xpath="/*/clcid-pte:FeiLiuDongXingZiChanChuZhiSunYiBaoKuoYiJiTiZiChanJianZhiZhunBeiDeChongXiaoBuFenFeiJingChangXingSunYiXiangMu[not(@periodRef)]" w:storeItemID="{89EBAB94-44A0-46A2-B712-30D997D04A6D}"/>
                <w:text/>
              </w:sdtPr>
              <w:sdtEndPr>
                <w:rPr>
                  <w:rFonts w:hint="eastAsia"/>
                  <w:szCs w:val="21"/>
                </w:rPr>
              </w:sdtEndPr>
              <w:sdtContent>
                <w:tc>
                  <w:tcPr>
                    <w:tcW w:w="1701" w:type="dxa"/>
                    <w:shd w:val="clear" w:color="auto" w:fill="auto"/>
                  </w:tcPr>
                  <w:p>
                    <w:pPr>
                      <w:pStyle w:val="76"/>
                      <w:jc w:val="right"/>
                      <w:rPr>
                        <w:szCs w:val="21"/>
                      </w:rPr>
                    </w:pPr>
                    <w:r>
                      <w:rPr>
                        <w:rFonts w:hint="eastAsia"/>
                        <w:color w:val="0000FF"/>
                        <w:szCs w:val="21"/>
                      </w:rPr>
                      <w:t>　</w:t>
                    </w:r>
                  </w:p>
                </w:tc>
              </w:sdtContent>
            </w:sdt>
            <w:sdt>
              <w:sdtPr>
                <w:rPr>
                  <w:szCs w:val="21"/>
                </w:rPr>
                <w:alias w:val="非流动性资产处置损益，包括已计提资产减值准备的冲销部分的说明（非经常性损益项目）"/>
                <w:tag w:val="_GBC_dbf112280e8b447b803745e3222ebaab"/>
                <w:id w:val="25156391"/>
                <w:lock w:val="sdtLocked"/>
                <w:showingPlcHdr/>
                <w15:dataBinding w:prefixMappings="xmlns:clcid-pte='clcid-pte'" w:xpath="/*/clcid-pte:FeiLiuDongXingZiChanChuZhiSunYiBaoKuoYiJiTiZiChanJianZhiZhunBeiDeChongXiaoBuFenFeiJingChangXingSunYiXiangMuShuoMing[not(@periodRef)]" w:storeItemID="{89EBAB94-44A0-46A2-B712-30D997D04A6D}"/>
                <w:text/>
              </w:sdtPr>
              <w:sdtEndPr>
                <w:rPr>
                  <w:szCs w:val="21"/>
                </w:rPr>
              </w:sdtEndPr>
              <w:sdtContent>
                <w:tc>
                  <w:tcPr>
                    <w:tcW w:w="1853" w:type="dxa"/>
                  </w:tcPr>
                  <w:p>
                    <w:pPr>
                      <w:pStyle w:val="76"/>
                      <w:rPr>
                        <w:b/>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11eb25532774c11acc9ef9b04526b48"/>
                <w:id w:val="25156392"/>
                <w:lock w:val="sdtLocked"/>
              </w:sdtPr>
              <w:sdtContent>
                <w:tc>
                  <w:tcPr>
                    <w:tcW w:w="5495" w:type="dxa"/>
                    <w:shd w:val="clear" w:color="auto" w:fill="auto"/>
                    <w:vAlign w:val="center"/>
                  </w:tcPr>
                  <w:p>
                    <w:pPr>
                      <w:pStyle w:val="76"/>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25156393"/>
                <w:lock w:val="sdtLocked"/>
                <w:showingPlcHdr/>
                <w15:dataBinding w:prefixMappings="xmlns:clcid-pte='clcid-pte'" w:xpath="/*/clcid-pte:FeiJingChangXingSunYiZhongYueQuanShenPiHuoWuZhengShiPiZhunWenJianDeShuiShouFanHuanJianMian[not(@periodRef)]" w:storeItemID="{89EBAB94-44A0-46A2-B712-30D997D04A6D}"/>
                <w:text/>
              </w:sdtPr>
              <w:sdtEndPr>
                <w:rPr>
                  <w:rFonts w:hint="eastAsia"/>
                  <w:szCs w:val="21"/>
                </w:rPr>
              </w:sdtEndPr>
              <w:sdtContent>
                <w:tc>
                  <w:tcPr>
                    <w:tcW w:w="1701" w:type="dxa"/>
                    <w:shd w:val="clear" w:color="auto" w:fill="auto"/>
                  </w:tcPr>
                  <w:p>
                    <w:pPr>
                      <w:pStyle w:val="76"/>
                      <w:ind w:right="6"/>
                      <w:jc w:val="right"/>
                      <w:rPr>
                        <w:szCs w:val="21"/>
                      </w:rPr>
                    </w:pPr>
                    <w:r>
                      <w:rPr>
                        <w:rFonts w:hint="eastAsia"/>
                        <w:color w:val="0000FF"/>
                        <w:szCs w:val="21"/>
                      </w:rPr>
                      <w:t>　</w:t>
                    </w:r>
                  </w:p>
                </w:tc>
              </w:sdtContent>
            </w:sdt>
            <w:sdt>
              <w:sdtPr>
                <w:rPr>
                  <w:szCs w:val="21"/>
                </w:rPr>
                <w:alias w:val="越权审批，或无正式批准文件，或偶发性的税收返还、减免的说明（非经常性损益项目）"/>
                <w:tag w:val="_GBC_d1e6861f45b64ca2a145ec60b8eb30fc"/>
                <w:id w:val="25156394"/>
                <w:lock w:val="sdtLocked"/>
                <w:showingPlcHdr/>
                <w15:dataBinding w:prefixMappings="xmlns:clcid-pte='clcid-pte'" w:xpath="/*/clcid-pte:FeiJingChangXingSunYiZhongYueQuanShenPiHuoWuZhengShiPiZhunWenJianDeShuiShouFanHuanJianMian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c23f9d3aa08475185cdc79972a7d629"/>
                <w:id w:val="25156395"/>
                <w:lock w:val="sdtLocked"/>
              </w:sdtPr>
              <w:sdtContent>
                <w:tc>
                  <w:tcPr>
                    <w:tcW w:w="5495" w:type="dxa"/>
                    <w:shd w:val="clear" w:color="auto" w:fill="auto"/>
                    <w:vAlign w:val="center"/>
                  </w:tcPr>
                  <w:p>
                    <w:pPr>
                      <w:pStyle w:val="76"/>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25156396"/>
                <w:lock w:val="sdtLocked"/>
                <w15:dataBinding w:prefixMappings="xmlns:clcid-pte='clcid-pte'" w:xpath="/*/clcid-pte:FeiJingChangXingSunYiZhongGeZhongXingShiDeZhengFuBuTie[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szCs w:val="21"/>
                      </w:rPr>
                      <w:t>12,712,709.88</w:t>
                    </w:r>
                  </w:p>
                </w:tc>
              </w:sdtContent>
            </w:sdt>
            <w:sdt>
              <w:sdtPr>
                <w:rPr>
                  <w:szCs w:val="21"/>
                </w:rPr>
                <w:alias w:val="计入当期损益的政府补助，但与公司正常经营业务密切相关，符合国家政策规定、按照一定标准定额或定量持续享受的政府补助除外的说.."/>
                <w:tag w:val="_GBC_4513591570d449de9208898ef81e191f"/>
                <w:id w:val="25156397"/>
                <w:lock w:val="sdtLocked"/>
                <w:showingPlcHdr/>
                <w15:dataBinding w:prefixMappings="xmlns:clcid-pte='clcid-pte'" w:xpath="/*/clcid-pte:FeiJingChangXingSunYiZhongGeZhongXingShiDeZhengFuBuTie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c55b419222469eac67ff689744c277"/>
                <w:id w:val="25156398"/>
                <w:lock w:val="sdtLocked"/>
              </w:sdtPr>
              <w:sdtContent>
                <w:tc>
                  <w:tcPr>
                    <w:tcW w:w="5495" w:type="dxa"/>
                    <w:shd w:val="clear" w:color="auto" w:fill="auto"/>
                    <w:vAlign w:val="center"/>
                  </w:tcPr>
                  <w:p>
                    <w:pPr>
                      <w:pStyle w:val="76"/>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25156399"/>
                <w:lock w:val="sdtLocked"/>
                <w:showingPlcHdr/>
                <w15:dataBinding w:prefixMappings="xmlns:clcid-pte='clcid-pte'" w:xpath="/*/clcid-pte:YuGongSiZhuYingYeWuWuGuanDeYuJiFuZhaiChanShengDeSunYi[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rFonts w:hint="eastAsia"/>
                        <w:color w:val="0000FF"/>
                        <w:szCs w:val="21"/>
                      </w:rPr>
                      <w:t>　</w:t>
                    </w:r>
                  </w:p>
                </w:tc>
              </w:sdtContent>
            </w:sdt>
            <w:sdt>
              <w:sdtPr>
                <w:rPr>
                  <w:szCs w:val="21"/>
                </w:rPr>
                <w:alias w:val="与公司正常经营业务无关的或有事项产生的损益的说明（非经常性损益项目）"/>
                <w:tag w:val="_GBC_c092dcb18a4049e7b48c3f5c5a57f1aa"/>
                <w:id w:val="25156400"/>
                <w:lock w:val="sdtLocked"/>
                <w:showingPlcHdr/>
                <w15:dataBinding w:prefixMappings="xmlns:clcid-pte='clcid-pte'" w:xpath="/*/clcid-pte:YuGongSiZhuYingYeWuWuGuanDeYuJiFuZhaiChanShengDeSunYi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daf9331032e4773b6b47d11e4aaa3e8"/>
                <w:id w:val="25156401"/>
                <w:lock w:val="sdtLocked"/>
              </w:sdtPr>
              <w:sdtContent>
                <w:tc>
                  <w:tcPr>
                    <w:tcW w:w="5495" w:type="dxa"/>
                    <w:shd w:val="clear" w:color="auto" w:fill="auto"/>
                    <w:vAlign w:val="center"/>
                  </w:tcPr>
                  <w:p>
                    <w:pPr>
                      <w:pStyle w:val="76"/>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25156402"/>
                <w:lock w:val="sdtLocked"/>
                <w15:dataBinding w:prefixMappings="xmlns:clcid-pte='clcid-pte'" w:xpath="/*/clcid-pte:ChuGongSiJingYingYeWuXiangGuanDeYouXiaoTaoQiBaoZhiYeWuWaiChiYouJiChuZhiJiaoYiXingJinRongZiChanJinRongFuZhaiChanShengDeGongYunJiaZhiBianDongSunYiYiHeKeGongChuShouJinRongZiChanQuDeDeTouZiShouYi[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szCs w:val="21"/>
                      </w:rPr>
                      <w:t>-1,591,567.46</w:t>
                    </w:r>
                  </w:p>
                </w:tc>
              </w:sdtContent>
            </w:sdt>
            <w:sdt>
              <w:sdtPr>
                <w:rPr>
                  <w:szCs w:val="21"/>
                </w:rPr>
                <w:alias w:val="除同公司正常经营业务相关的有效套期保值业务外，持有交易性金融资产、交易性金融负债产生的公允价值变动损益，以及处置交易性金.."/>
                <w:tag w:val="_GBC_d45047945f3a4c6dbf951dc5db8e4ebe"/>
                <w:id w:val="25156403"/>
                <w:lock w:val="sdtLocked"/>
                <w:showingPlcHdr/>
                <w15:dataBinding w:prefixMappings="xmlns:clcid-pte='clcid-pte'" w:xpath="/*/clcid-pte:ChuGongSiJingYingYeWuXiangGuanDeYouXiaoTaoQiBaoZhiYeWuWaiChiYouJiChuZhiJiaoYiXingJinRongZiChanJinRongFuZhaiChanShengDeGongYunJiaZhiBianDongSunYiYiHeKeGongChuShouJinRongZiChanQuDeDeTouZiShouYi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13c811eeb1b418fb392d2dc6ba3ee6f"/>
                <w:id w:val="25156404"/>
                <w:lock w:val="sdtLocked"/>
              </w:sdtPr>
              <w:sdtContent>
                <w:tc>
                  <w:tcPr>
                    <w:tcW w:w="5495" w:type="dxa"/>
                    <w:shd w:val="clear" w:color="auto" w:fill="auto"/>
                    <w:vAlign w:val="center"/>
                  </w:tcPr>
                  <w:p>
                    <w:pPr>
                      <w:pStyle w:val="76"/>
                      <w:rPr>
                        <w:szCs w:val="21"/>
                      </w:rPr>
                    </w:pPr>
                    <w:r>
                      <w:rPr>
                        <w:rFonts w:hint="eastAsia"/>
                        <w:szCs w:val="21"/>
                      </w:rPr>
                      <w:t>单独进行减值测试的应收款项减值准备转回</w:t>
                    </w:r>
                  </w:p>
                </w:tc>
              </w:sdtContent>
            </w:sdt>
            <w:sdt>
              <w:sdtPr>
                <w:rPr>
                  <w:rFonts w:hint="eastAsia"/>
                  <w:szCs w:val="21"/>
                </w:rPr>
                <w:alias w:val="单独进行减值测试的应收款项减值准备转回（非经常性损益项目）"/>
                <w:tag w:val="_GBC_e3d9a7f35efc4eefb1bc297a75de0370"/>
                <w:id w:val="25156405"/>
                <w:lock w:val="sdtLocked"/>
                <w:showingPlcHdr/>
                <w15:dataBinding w:prefixMappings="xmlns:clcid-pte='clcid-pte'" w:xpath="/*/clcid-pte:DanDuJinXingJianZhiCeShiDeYingShouKuanXiangJianZhiZhunBeiZhuanHui[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rFonts w:hint="eastAsia"/>
                        <w:color w:val="0000FF"/>
                        <w:szCs w:val="21"/>
                      </w:rPr>
                      <w:t>　</w:t>
                    </w:r>
                  </w:p>
                </w:tc>
              </w:sdtContent>
            </w:sdt>
            <w:sdt>
              <w:sdtPr>
                <w:rPr>
                  <w:szCs w:val="21"/>
                </w:rPr>
                <w:alias w:val="单独进行减值测试的应收款项减值准备转回的说明（非经常性损益项目）"/>
                <w:tag w:val="_GBC_3a60cb783775420696e5fafe4691838e"/>
                <w:id w:val="25156406"/>
                <w:lock w:val="sdtLocked"/>
                <w:showingPlcHdr/>
                <w15:dataBinding w:prefixMappings="xmlns:clcid-pte='clcid-pte'" w:xpath="/*/clcid-pte:DanDuJinXingJianZhiCeShiDeYingShouKuanXiangJianZhiZhunBeiZhuanHui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f68967a04b4a8a89df6132091b7461"/>
                <w:id w:val="25156407"/>
                <w:lock w:val="sdtLocked"/>
              </w:sdtPr>
              <w:sdtContent>
                <w:tc>
                  <w:tcPr>
                    <w:tcW w:w="5495" w:type="dxa"/>
                    <w:shd w:val="clear" w:color="auto" w:fill="auto"/>
                    <w:vAlign w:val="center"/>
                  </w:tcPr>
                  <w:p>
                    <w:pPr>
                      <w:pStyle w:val="76"/>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25156408"/>
                <w:lock w:val="sdtLocked"/>
                <w15:dataBinding w:prefixMappings="xmlns:clcid-pte='clcid-pte'" w:xpath="/*/clcid-pte:ChuShangShuGeXiangZhiWaiDeQiTaYingYeWaiShouZhiJingE[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szCs w:val="21"/>
                      </w:rPr>
                      <w:t>1,918,640.56</w:t>
                    </w:r>
                  </w:p>
                </w:tc>
              </w:sdtContent>
            </w:sdt>
            <w:sdt>
              <w:sdtPr>
                <w:rPr>
                  <w:szCs w:val="21"/>
                </w:rPr>
                <w:alias w:val="除上述各项之外的其他营业外收入和支出的说明（非经常性损益项目）"/>
                <w:tag w:val="_GBC_c4fc3e35307e455db3b9161cb811a087"/>
                <w:id w:val="25156409"/>
                <w:lock w:val="sdtLocked"/>
                <w:showingPlcHdr/>
                <w15:dataBinding w:prefixMappings="xmlns:clcid-pte='clcid-pte'" w:xpath="/*/clcid-pte:ChuShangShuGeXiangZhiWaiDeQiTaYingYeWaiShouZhiJingE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59b510fa20e419f93068876515ea27a"/>
                <w:id w:val="25156410"/>
                <w:lock w:val="sdtLocked"/>
              </w:sdtPr>
              <w:sdtContent>
                <w:tc>
                  <w:tcPr>
                    <w:tcW w:w="5495" w:type="dxa"/>
                    <w:shd w:val="clear" w:color="auto" w:fill="auto"/>
                    <w:vAlign w:val="center"/>
                  </w:tcPr>
                  <w:p>
                    <w:pPr>
                      <w:pStyle w:val="76"/>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25156411"/>
                <w:lock w:val="sdtLocked"/>
                <w:showingPlcHdr/>
                <w15:dataBinding w:prefixMappings="xmlns:clcid-pte='clcid-pte'" w:xpath="/*/clcid-pte:QiTaFeiJingChangXingSunYiXiangMu[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rFonts w:hint="eastAsia"/>
                        <w:color w:val="0000FF"/>
                        <w:szCs w:val="21"/>
                      </w:rPr>
                      <w:t>　</w:t>
                    </w:r>
                  </w:p>
                </w:tc>
              </w:sdtContent>
            </w:sdt>
            <w:sdt>
              <w:sdtPr>
                <w:rPr>
                  <w:rFonts w:hint="eastAsia"/>
                  <w:szCs w:val="21"/>
                </w:rPr>
                <w:alias w:val="其他符合非经常性损益定义的损益项目说明（非经常性损益项目）"/>
                <w:tag w:val="_GBC_88d5aaf5624d44b4a912d7c291f5337b"/>
                <w:id w:val="25156412"/>
                <w:lock w:val="sdtLocked"/>
                <w:showingPlcHdr/>
                <w15:dataBinding w:prefixMappings="xmlns:clcid-pte='clcid-pte'" w:xpath="/*/clcid-pte:QiTaFeiJingChangXingSunYiXiangMuShuoMing[not(@periodRef)]" w:storeItemID="{89EBAB94-44A0-46A2-B712-30D997D04A6D}"/>
                <w:text/>
              </w:sdtPr>
              <w:sdtEndPr>
                <w:rPr>
                  <w:rFonts w:hint="eastAsia"/>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cbcd160f56e4221a63548c56021b209"/>
                <w:id w:val="25156413"/>
                <w:lock w:val="sdtLocked"/>
              </w:sdtPr>
              <w:sdtContent>
                <w:tc>
                  <w:tcPr>
                    <w:tcW w:w="5495" w:type="dxa"/>
                    <w:shd w:val="clear" w:color="auto" w:fill="auto"/>
                    <w:vAlign w:val="center"/>
                  </w:tcPr>
                  <w:p>
                    <w:pPr>
                      <w:pStyle w:val="76"/>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25156414"/>
                <w:lock w:val="sdtLocked"/>
                <w15:dataBinding w:prefixMappings="xmlns:clcid-pte='clcid-pte'" w:xpath="/*/clcid-pte:FeiJingChangXingSunYiDeKouChuXiangMuDuiSuoDeShuiDeYingXiang[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szCs w:val="21"/>
                      </w:rPr>
                      <w:t>-1,955,967.45</w:t>
                    </w:r>
                  </w:p>
                </w:tc>
              </w:sdtContent>
            </w:sdt>
            <w:sdt>
              <w:sdtPr>
                <w:rPr>
                  <w:szCs w:val="21"/>
                </w:rPr>
                <w:alias w:val="所得税影响额的说明（非经常性损益项目）"/>
                <w:tag w:val="_GBC_7ed1b962000f41dc8da48b033f074791"/>
                <w:id w:val="25156415"/>
                <w:lock w:val="sdtLocked"/>
                <w:showingPlcHdr/>
                <w15:dataBinding w:prefixMappings="xmlns:clcid-pte='clcid-pte'" w:xpath="/*/clcid-pte:FeiJingChangXingSunYiDeKouChuXiangMuDuiSuoDeShuiDeYingXiang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bdffd50d284f23ab4d0b1e6b4b1b9e"/>
                <w:id w:val="25156416"/>
                <w:lock w:val="sdtLocked"/>
              </w:sdtPr>
              <w:sdtContent>
                <w:tc>
                  <w:tcPr>
                    <w:tcW w:w="5495" w:type="dxa"/>
                    <w:shd w:val="clear" w:color="auto" w:fill="auto"/>
                    <w:vAlign w:val="center"/>
                  </w:tcPr>
                  <w:p>
                    <w:pPr>
                      <w:pStyle w:val="76"/>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25156417"/>
                <w:lock w:val="sdtLocked"/>
                <w:showingPlcHdr/>
                <w15:dataBinding w:prefixMappings="xmlns:clcid-pte='clcid-pte'" w:xpath="/*/clcid-pte:FeiJingChangXingSunYiXiangMuZhongShaoShuGuDongQuanYiYingXiangE[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rFonts w:hint="eastAsia"/>
                        <w:color w:val="0000FF"/>
                        <w:szCs w:val="21"/>
                      </w:rPr>
                      <w:t>　</w:t>
                    </w:r>
                  </w:p>
                </w:tc>
              </w:sdtContent>
            </w:sdt>
            <w:sdt>
              <w:sdtPr>
                <w:rPr>
                  <w:szCs w:val="21"/>
                </w:rPr>
                <w:alias w:val="少数股东权益影响额的说明（非经常性损益项目）"/>
                <w:tag w:val="_GBC_c9a288fb29d348cbb8d20de9f399a549"/>
                <w:id w:val="25156418"/>
                <w:lock w:val="sdtLocked"/>
                <w:showingPlcHdr/>
                <w15:dataBinding w:prefixMappings="xmlns:clcid-pte='clcid-pte'" w:xpath="/*/clcid-pte:FeiJingChangXingSunYiXiangMuZhongShaoShuGuDongQuanYiYingXiangEShuoMing[not(@periodRef)]" w:storeItemID="{89EBAB94-44A0-46A2-B712-30D997D04A6D}"/>
                <w:text/>
              </w:sdtPr>
              <w:sdtEndPr>
                <w:rPr>
                  <w:szCs w:val="21"/>
                </w:rPr>
              </w:sdtEndPr>
              <w:sdtContent>
                <w:tc>
                  <w:tcPr>
                    <w:tcW w:w="1853" w:type="dxa"/>
                  </w:tcPr>
                  <w:p>
                    <w:pPr>
                      <w:pStyle w:val="76"/>
                      <w:rPr>
                        <w:szCs w:val="21"/>
                      </w:rPr>
                    </w:pPr>
                    <w:r>
                      <w:rPr>
                        <w:rFonts w:hint="eastAsia"/>
                        <w:color w:val="0000FF"/>
                        <w:szCs w:val="21"/>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375b3f262d423d9aed45796f2bf18d"/>
                <w:id w:val="25156419"/>
                <w:lock w:val="sdtLocked"/>
              </w:sdtPr>
              <w:sdtContent>
                <w:tc>
                  <w:tcPr>
                    <w:tcW w:w="5495" w:type="dxa"/>
                    <w:shd w:val="clear" w:color="auto" w:fill="auto"/>
                    <w:vAlign w:val="center"/>
                  </w:tcPr>
                  <w:p>
                    <w:pPr>
                      <w:pStyle w:val="76"/>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25156420"/>
                <w:lock w:val="sdtLocked"/>
                <w15:dataBinding w:prefixMappings="xmlns:clcid-pte='clcid-pte'" w:xpath="/*/clcid-pte:KouChuDeFeiJingChangXingSunYiHeJi[not(@periodRef)]" w:storeItemID="{89EBAB94-44A0-46A2-B712-30D997D04A6D}"/>
                <w:text/>
              </w:sdtPr>
              <w:sdtEndPr>
                <w:rPr>
                  <w:rFonts w:hint="eastAsia"/>
                  <w:szCs w:val="21"/>
                </w:rPr>
              </w:sdtEndPr>
              <w:sdtContent>
                <w:tc>
                  <w:tcPr>
                    <w:tcW w:w="1701" w:type="dxa"/>
                    <w:shd w:val="clear" w:color="auto" w:fill="auto"/>
                    <w:vAlign w:val="center"/>
                  </w:tcPr>
                  <w:p>
                    <w:pPr>
                      <w:pStyle w:val="76"/>
                      <w:jc w:val="right"/>
                      <w:rPr>
                        <w:szCs w:val="21"/>
                      </w:rPr>
                    </w:pPr>
                    <w:r>
                      <w:rPr>
                        <w:szCs w:val="21"/>
                      </w:rPr>
                      <w:t>11,083,815.53</w:t>
                    </w:r>
                  </w:p>
                </w:tc>
              </w:sdtContent>
            </w:sdt>
            <w:sdt>
              <w:sdtPr>
                <w:rPr>
                  <w:rFonts w:hint="eastAsia"/>
                  <w:szCs w:val="21"/>
                </w:rPr>
                <w:alias w:val="扣除的非经常性损益合计说明"/>
                <w:tag w:val="_GBC_fd47d890fc7a493192e451b6575f5e8a"/>
                <w:id w:val="25156421"/>
                <w:lock w:val="sdtLocked"/>
                <w:showingPlcHdr/>
                <w15:dataBinding w:prefixMappings="xmlns:clcid-pte='clcid-pte'" w:xpath="/*/clcid-pte:KouChuDeFeiJingChangXingSunYiHeJiShuoMing[not(@periodRef)]" w:storeItemID="{89EBAB94-44A0-46A2-B712-30D997D04A6D}"/>
                <w:text/>
              </w:sdtPr>
              <w:sdtEndPr>
                <w:rPr>
                  <w:rFonts w:hint="eastAsia"/>
                  <w:szCs w:val="21"/>
                </w:rPr>
              </w:sdtEndPr>
              <w:sdtContent>
                <w:tc>
                  <w:tcPr>
                    <w:tcW w:w="1853" w:type="dxa"/>
                  </w:tcPr>
                  <w:p>
                    <w:pPr>
                      <w:pStyle w:val="76"/>
                      <w:rPr>
                        <w:szCs w:val="21"/>
                      </w:rPr>
                    </w:pPr>
                    <w:r>
                      <w:rPr>
                        <w:rFonts w:hint="eastAsia"/>
                      </w:rPr>
                      <w:t>　</w:t>
                    </w:r>
                  </w:p>
                </w:tc>
              </w:sdtContent>
            </w:sdt>
          </w:tr>
        </w:tbl>
        <w:p>
          <w:pPr>
            <w:pStyle w:val="76"/>
          </w:pPr>
        </w:p>
      </w:sdtContent>
    </w:sdt>
    <w:sdt>
      <w:sdtPr>
        <w:rPr>
          <w:rFonts w:hint="eastAsia"/>
          <w:szCs w:val="21"/>
        </w:rPr>
        <w:alias w:val="模块:对公司根据《公开发行证券的公司信息披露解释性公告第1号——非..."/>
        <w:tag w:val="_GBC_7944e47348cd4cd186b958ba1902ea3f"/>
        <w:id w:val="25156424"/>
        <w:lock w:val="sdtLocked"/>
        <w:placeholder>
          <w:docPart w:val="GBC22222222222222222222222222222"/>
        </w:placeholder>
      </w:sdtPr>
      <w:sdtEndPr>
        <w:rPr>
          <w:rFonts w:hint="eastAsia" w:ascii="Times New Roman" w:hAnsi="Times New Roman"/>
          <w:szCs w:val="21"/>
        </w:rPr>
      </w:sdtEndPr>
      <w:sdtContent>
        <w:p>
          <w:pPr>
            <w:pStyle w:val="76"/>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pPr>
            <w:pStyle w:val="76"/>
            <w:rPr>
              <w:szCs w:val="21"/>
            </w:rPr>
          </w:pPr>
          <w:sdt>
            <w:sdtPr>
              <w:rPr>
                <w:szCs w:val="21"/>
              </w:rPr>
              <w:alias w:val="是否适用：将非经常性损益项目界定为经常性损益项目[双击切换]"/>
              <w:tag w:val="_GBC_5f8a059d4da1440d8ef10197ecd89cd6"/>
              <w:id w:val="25156423"/>
              <w:lock w:val="sdtContentLocked"/>
              <w:placeholder>
                <w:docPart w:val="GBC22222222222222222222222222222"/>
              </w:placeholder>
            </w:sdtPr>
            <w:sdtEndPr>
              <w:rPr>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宋体" w:hAnsi="宋体" w:cs="宋体"/>
          <w:b w:val="0"/>
          <w:bCs w:val="0"/>
          <w:kern w:val="0"/>
          <w:szCs w:val="21"/>
        </w:rPr>
        <w:alias w:val="模块:净资产收益率及每股收益"/>
        <w:tag w:val="_GBC_146d888914ac4591bea1ff0ea9e89617"/>
        <w:id w:val="25156433"/>
        <w:lock w:val="sdtLocked"/>
        <w:placeholder>
          <w:docPart w:val="GBC22222222222222222222222222222"/>
        </w:placeholder>
      </w:sdtPr>
      <w:sdtEndPr>
        <w:rPr>
          <w:rFonts w:hint="eastAsia" w:ascii="宋体" w:hAnsi="宋体" w:cs="宋体"/>
          <w:b w:val="0"/>
          <w:bCs w:val="0"/>
          <w:kern w:val="0"/>
          <w:szCs w:val="21"/>
        </w:rPr>
      </w:sdtEndPr>
      <w:sdtContent>
        <w:p>
          <w:pPr>
            <w:pStyle w:val="79"/>
            <w:numPr>
              <w:ilvl w:val="0"/>
              <w:numId w:val="96"/>
            </w:numPr>
            <w:rPr>
              <w:szCs w:val="21"/>
            </w:rPr>
          </w:pPr>
          <w:r>
            <w:rPr>
              <w:rFonts w:hint="eastAsia"/>
              <w:szCs w:val="21"/>
            </w:rPr>
            <w:t>净资产</w:t>
          </w:r>
          <w:r>
            <w:rPr>
              <w:rFonts w:hint="eastAsia" w:ascii="宋体" w:hAnsi="宋体"/>
              <w:szCs w:val="21"/>
            </w:rPr>
            <w:t>收益率</w:t>
          </w:r>
          <w:r>
            <w:rPr>
              <w:rFonts w:hint="eastAsia"/>
              <w:szCs w:val="21"/>
            </w:rPr>
            <w:t>及每股收益</w:t>
          </w:r>
        </w:p>
        <w:sdt>
          <w:sdtPr>
            <w:alias w:val="是否适用：净资产收益率及每股收益[双击切换]"/>
            <w:tag w:val="_GBC_75866ebc8d184cdd988e79330ad3b083"/>
            <w:id w:val="25156425"/>
            <w:lock w:val="sdtContentLocked"/>
            <w:placeholder>
              <w:docPart w:val="GBC22222222222222222222222222222"/>
            </w:placeholder>
          </w:sdtPr>
          <w:sdtContent>
            <w:p>
              <w:pPr>
                <w:pStyle w:val="7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2"/>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1"/>
            <w:gridCol w:w="1842"/>
            <w:gridCol w:w="1985"/>
            <w:gridCol w:w="1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sdt>
              <w:sdtPr>
                <w:tag w:val="_PLD_680a8ba0e71a45459c0939cd6c78c07f"/>
                <w:id w:val="25156426"/>
                <w:lock w:val="sdtLocked"/>
              </w:sdtPr>
              <w:sdtContent>
                <w:tc>
                  <w:tcPr>
                    <w:tcW w:w="3371" w:type="dxa"/>
                    <w:vMerge w:val="restart"/>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szCs w:val="21"/>
                      </w:rPr>
                      <w:t>报告期利润</w:t>
                    </w:r>
                  </w:p>
                </w:tc>
              </w:sdtContent>
            </w:sdt>
            <w:sdt>
              <w:sdtPr>
                <w:tag w:val="_PLD_608d0086e1154f8ca6d3c34247132ef0"/>
                <w:id w:val="25156427"/>
                <w:lock w:val="sdtLocked"/>
              </w:sdtPr>
              <w:sdtContent>
                <w:tc>
                  <w:tcPr>
                    <w:tcW w:w="1842" w:type="dxa"/>
                    <w:vMerge w:val="restart"/>
                    <w:tcBorders>
                      <w:top w:val="single" w:color="auto" w:sz="4" w:space="0"/>
                      <w:left w:val="single" w:color="auto" w:sz="4" w:space="0"/>
                      <w:right w:val="single" w:color="auto" w:sz="4" w:space="0"/>
                    </w:tcBorders>
                    <w:vAlign w:val="center"/>
                  </w:tcPr>
                  <w:p>
                    <w:pPr>
                      <w:pStyle w:val="76"/>
                      <w:jc w:val="center"/>
                      <w:rPr>
                        <w:szCs w:val="21"/>
                      </w:rPr>
                    </w:pPr>
                    <w:r>
                      <w:rPr>
                        <w:szCs w:val="21"/>
                      </w:rPr>
                      <w:t>加权平均净资产收益率（%）</w:t>
                    </w:r>
                  </w:p>
                </w:tc>
              </w:sdtContent>
            </w:sdt>
            <w:sdt>
              <w:sdtPr>
                <w:tag w:val="_PLD_8b4a0bf973be4a19862ac5168193db93"/>
                <w:id w:val="25156428"/>
                <w:lock w:val="sdtLocked"/>
              </w:sdtPr>
              <w:sdtContent>
                <w:tc>
                  <w:tcPr>
                    <w:tcW w:w="3836" w:type="dxa"/>
                    <w:gridSpan w:val="2"/>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szCs w:val="21"/>
                      </w:rPr>
                      <w:t>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371" w:type="dxa"/>
                <w:vMerge w:val="continue"/>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p>
            </w:tc>
            <w:tc>
              <w:tcPr>
                <w:tcW w:w="1842" w:type="dxa"/>
                <w:vMerge w:val="continue"/>
                <w:tcBorders>
                  <w:left w:val="single" w:color="auto" w:sz="4" w:space="0"/>
                  <w:bottom w:val="single" w:color="auto" w:sz="4" w:space="0"/>
                  <w:right w:val="single" w:color="auto" w:sz="4" w:space="0"/>
                </w:tcBorders>
                <w:vAlign w:val="center"/>
              </w:tcPr>
              <w:p>
                <w:pPr>
                  <w:pStyle w:val="76"/>
                  <w:jc w:val="center"/>
                  <w:rPr>
                    <w:szCs w:val="21"/>
                  </w:rPr>
                </w:pPr>
              </w:p>
            </w:tc>
            <w:sdt>
              <w:sdtPr>
                <w:tag w:val="_PLD_45472770a81744249d77e54c2efc412a"/>
                <w:id w:val="25156429"/>
                <w:lock w:val="sdtLocked"/>
              </w:sdtPr>
              <w:sdtContent>
                <w:tc>
                  <w:tcPr>
                    <w:tcW w:w="1985"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szCs w:val="21"/>
                      </w:rPr>
                      <w:t>基本每股收益</w:t>
                    </w:r>
                  </w:p>
                </w:tc>
              </w:sdtContent>
            </w:sdt>
            <w:sdt>
              <w:sdtPr>
                <w:tag w:val="_PLD_c4e5be0bbc134fa28e28895e1a12e02c"/>
                <w:id w:val="25156430"/>
                <w:lock w:val="sdtLocked"/>
              </w:sdtPr>
              <w:sdtContent>
                <w:tc>
                  <w:tcPr>
                    <w:tcW w:w="1851" w:type="dxa"/>
                    <w:tcBorders>
                      <w:top w:val="single" w:color="auto" w:sz="4" w:space="0"/>
                      <w:left w:val="single" w:color="auto" w:sz="4" w:space="0"/>
                      <w:bottom w:val="single" w:color="auto" w:sz="4" w:space="0"/>
                      <w:right w:val="single" w:color="auto" w:sz="4" w:space="0"/>
                    </w:tcBorders>
                    <w:vAlign w:val="center"/>
                  </w:tcPr>
                  <w:p>
                    <w:pPr>
                      <w:pStyle w:val="76"/>
                      <w:jc w:val="center"/>
                      <w:rPr>
                        <w:szCs w:val="21"/>
                      </w:rPr>
                    </w:pPr>
                    <w:r>
                      <w:rPr>
                        <w:szCs w:val="21"/>
                      </w:rPr>
                      <w:t>稀释每股收益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c94607fd97d648bd8ca7517a2c7054ea"/>
                <w:id w:val="25156431"/>
                <w:lock w:val="sdtLocked"/>
              </w:sdtPr>
              <w:sdtContent>
                <w:tc>
                  <w:tcPr>
                    <w:tcW w:w="3371" w:type="dxa"/>
                    <w:tcBorders>
                      <w:top w:val="single" w:color="auto" w:sz="4" w:space="0"/>
                      <w:left w:val="single" w:color="auto" w:sz="4" w:space="0"/>
                      <w:bottom w:val="single" w:color="auto" w:sz="4" w:space="0"/>
                      <w:right w:val="single" w:color="auto" w:sz="4" w:space="0"/>
                    </w:tcBorders>
                  </w:tcPr>
                  <w:p>
                    <w:pPr>
                      <w:pStyle w:val="76"/>
                      <w:rPr>
                        <w:szCs w:val="21"/>
                      </w:rPr>
                    </w:pPr>
                    <w:r>
                      <w:rPr>
                        <w:szCs w:val="21"/>
                      </w:rPr>
                      <w:t>归属于公司普通股股东的净利润</w:t>
                    </w:r>
                  </w:p>
                </w:tc>
              </w:sdtContent>
            </w:sdt>
            <w:tc>
              <w:tcPr>
                <w:tcW w:w="1842"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27.71</w:t>
                </w:r>
              </w:p>
            </w:tc>
            <w:tc>
              <w:tcPr>
                <w:tcW w:w="1985"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0.7962</w:t>
                </w:r>
              </w:p>
            </w:tc>
            <w:tc>
              <w:tcPr>
                <w:tcW w:w="1851"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0.7962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0794afc706e94e77876df1281577a7d9"/>
                <w:id w:val="25156432"/>
                <w:lock w:val="sdtLocked"/>
              </w:sdtPr>
              <w:sdtContent>
                <w:tc>
                  <w:tcPr>
                    <w:tcW w:w="3371" w:type="dxa"/>
                    <w:tcBorders>
                      <w:top w:val="single" w:color="auto" w:sz="4" w:space="0"/>
                      <w:left w:val="single" w:color="auto" w:sz="4" w:space="0"/>
                      <w:bottom w:val="single" w:color="auto" w:sz="4" w:space="0"/>
                      <w:right w:val="single" w:color="auto" w:sz="4" w:space="0"/>
                    </w:tcBorders>
                  </w:tcPr>
                  <w:p>
                    <w:pPr>
                      <w:pStyle w:val="76"/>
                      <w:rPr>
                        <w:szCs w:val="21"/>
                      </w:rPr>
                    </w:pPr>
                    <w:r>
                      <w:rPr>
                        <w:szCs w:val="21"/>
                      </w:rPr>
                      <w:t>扣除非经常性损益后归属于公司普通股股东的净利润</w:t>
                    </w:r>
                  </w:p>
                </w:tc>
              </w:sdtContent>
            </w:sdt>
            <w:tc>
              <w:tcPr>
                <w:tcW w:w="1842"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27.56</w:t>
                </w:r>
              </w:p>
            </w:tc>
            <w:tc>
              <w:tcPr>
                <w:tcW w:w="1985"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0.7919</w:t>
                </w:r>
              </w:p>
            </w:tc>
            <w:tc>
              <w:tcPr>
                <w:tcW w:w="1851" w:type="dxa"/>
                <w:tcBorders>
                  <w:top w:val="single" w:color="auto" w:sz="4" w:space="0"/>
                  <w:left w:val="single" w:color="auto" w:sz="4" w:space="0"/>
                  <w:bottom w:val="single" w:color="auto" w:sz="4" w:space="0"/>
                  <w:right w:val="single" w:color="auto" w:sz="4" w:space="0"/>
                </w:tcBorders>
                <w:vAlign w:val="center"/>
              </w:tcPr>
              <w:p>
                <w:pPr>
                  <w:pStyle w:val="76"/>
                  <w:jc w:val="right"/>
                  <w:rPr>
                    <w:szCs w:val="21"/>
                  </w:rPr>
                </w:pPr>
                <w:r>
                  <w:t>0.7919</w:t>
                </w:r>
              </w:p>
            </w:tc>
          </w:tr>
        </w:tbl>
        <w:p>
          <w:pPr>
            <w:pStyle w:val="76"/>
          </w:pPr>
        </w:p>
        <w:p>
          <w:pPr>
            <w:pStyle w:val="76"/>
            <w:rPr>
              <w:szCs w:val="21"/>
            </w:rPr>
          </w:pPr>
        </w:p>
      </w:sdtContent>
    </w:sdt>
    <w:p>
      <w:pPr>
        <w:pStyle w:val="79"/>
        <w:numPr>
          <w:ilvl w:val="0"/>
          <w:numId w:val="96"/>
        </w:numPr>
        <w:rPr>
          <w:rFonts w:ascii="宋体" w:hAnsi="宋体"/>
          <w:szCs w:val="21"/>
        </w:rPr>
      </w:pPr>
      <w:r>
        <w:rPr>
          <w:rFonts w:hint="eastAsia" w:ascii="宋体" w:hAnsi="宋体"/>
          <w:szCs w:val="21"/>
        </w:rPr>
        <w:t>境内外会计准则下会计数据差异</w:t>
      </w:r>
    </w:p>
    <w:sdt>
      <w:sdtPr>
        <w:alias w:val="是否适用：境内外会计准则下会计数据差异[双击切换]"/>
        <w:tag w:val="_GBC_3482333eff2948139884cfdd1debc958"/>
        <w:id w:val="25156434"/>
        <w:lock w:val="sdtContentLocked"/>
        <w:placeholder>
          <w:docPart w:val="GBC22222222222222222222222222222"/>
        </w:placeholder>
      </w:sdtPr>
      <w:sdtContent>
        <w:p>
          <w:pPr>
            <w:pStyle w:val="76"/>
            <w:rPr>
              <w:rFonts w:cstheme="minorBidi"/>
              <w:kern w:val="2"/>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76"/>
        <w:rPr>
          <w:szCs w:val="21"/>
        </w:rPr>
      </w:pPr>
    </w:p>
    <w:sdt>
      <w:sdtPr>
        <w:rPr>
          <w:rFonts w:ascii="宋体" w:hAnsi="宋体" w:cs="宋体"/>
          <w:b w:val="0"/>
          <w:bCs w:val="0"/>
          <w:kern w:val="0"/>
          <w:szCs w:val="21"/>
        </w:rPr>
        <w:alias w:val="模块:补充资料其他说明事项"/>
        <w:tag w:val="_GBC_a60672e5f86e422cbb864ef991c9106b"/>
        <w:id w:val="25156437"/>
        <w:lock w:val="sdtLocked"/>
        <w:placeholder>
          <w:docPart w:val="GBC22222222222222222222222222222"/>
        </w:placeholder>
      </w:sdtPr>
      <w:sdtEndPr>
        <w:rPr>
          <w:rFonts w:ascii="宋体" w:hAnsi="宋体" w:cs="宋体"/>
          <w:b w:val="0"/>
          <w:bCs w:val="0"/>
          <w:kern w:val="0"/>
          <w:szCs w:val="21"/>
        </w:rPr>
      </w:sdtEndPr>
      <w:sdtContent>
        <w:p>
          <w:pPr>
            <w:pStyle w:val="79"/>
            <w:numPr>
              <w:ilvl w:val="0"/>
              <w:numId w:val="96"/>
            </w:numPr>
            <w:rPr>
              <w:szCs w:val="21"/>
            </w:rPr>
          </w:pPr>
          <w:r>
            <w:rPr>
              <w:rFonts w:hint="eastAsia"/>
              <w:szCs w:val="21"/>
            </w:rPr>
            <w:t>其他</w:t>
          </w:r>
        </w:p>
        <w:sdt>
          <w:sdtPr>
            <w:alias w:val="是否适用：补充资料其他说明事项[双击切换]"/>
            <w:tag w:val="_GBC_8954f89f8426424c966f1b658de53fe5"/>
            <w:id w:val="25156435"/>
            <w:lock w:val="sdtContentLocked"/>
            <w:placeholder>
              <w:docPart w:val="GBC22222222222222222222222222222"/>
            </w:placeholder>
          </w:sdtPr>
          <w:sdtContent>
            <w:p>
              <w:pPr>
                <w:pStyle w:val="76"/>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76"/>
      </w:pPr>
    </w:p>
    <w:p>
      <w:pPr>
        <w:pStyle w:val="76"/>
        <w:rPr>
          <w:szCs w:val="21"/>
        </w:rPr>
      </w:pPr>
    </w:p>
    <w:p>
      <w:pPr>
        <w:pStyle w:val="76"/>
        <w:rPr>
          <w:szCs w:val="21"/>
        </w:rPr>
        <w:sectPr>
          <w:pgSz w:w="11906" w:h="16838"/>
          <w:pgMar w:top="1525" w:right="1276" w:bottom="1440" w:left="1797" w:header="856" w:footer="992" w:gutter="0"/>
          <w:cols w:space="425" w:num="1"/>
          <w:docGrid w:linePitch="312" w:charSpace="0"/>
        </w:sectPr>
      </w:pPr>
    </w:p>
    <w:p>
      <w:pPr>
        <w:pStyle w:val="76"/>
        <w:rPr>
          <w:szCs w:val="21"/>
        </w:rPr>
      </w:pPr>
    </w:p>
    <w:p>
      <w:pPr>
        <w:pStyle w:val="2"/>
        <w:numPr>
          <w:ilvl w:val="0"/>
          <w:numId w:val="2"/>
        </w:numPr>
        <w:rPr>
          <w:rFonts w:eastAsia="宋体"/>
          <w:bCs w:val="0"/>
          <w:szCs w:val="28"/>
        </w:rPr>
      </w:pPr>
      <w:bookmarkStart w:id="67" w:name="_Toc484510574"/>
      <w:r>
        <w:rPr>
          <w:rFonts w:eastAsia="宋体"/>
          <w:bCs w:val="0"/>
        </w:rPr>
        <w:t>备查</w:t>
      </w:r>
      <w:r>
        <w:rPr>
          <w:rFonts w:eastAsia="宋体"/>
          <w:bCs w:val="0"/>
          <w:szCs w:val="28"/>
        </w:rPr>
        <w:t>文件目录</w:t>
      </w:r>
      <w:bookmarkEnd w:id="67"/>
    </w:p>
    <w:sdt>
      <w:sdtPr>
        <w:rPr>
          <w:b/>
          <w:bCs/>
        </w:rPr>
        <w:alias w:val="模块:备查文件目录"/>
        <w:tag w:val="_GBC_963a7d90a6f14cd592de64155ea294f1"/>
        <w:id w:val="25156442"/>
        <w:lock w:val="sdtLocked"/>
        <w:placeholder>
          <w:docPart w:val="GBC22222222222222222222222222222"/>
        </w:placeholder>
      </w:sdtPr>
      <w:sdtEndPr>
        <w:rPr>
          <w:b w:val="0"/>
          <w:bCs w:val="0"/>
        </w:rPr>
      </w:sdtEndPr>
      <w:sdtContent>
        <w:p>
          <w:pPr>
            <w:spacing w:line="360" w:lineRule="exact"/>
            <w:ind w:right="5"/>
            <w:rPr>
              <w:b/>
              <w:bCs/>
            </w:rPr>
          </w:pPr>
        </w:p>
        <w:tbl>
          <w:tblPr>
            <w:tblStyle w:val="36"/>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94"/>
            <w:gridCol w:w="6599"/>
          </w:tblGrid>
          <w:sdt>
            <w:sdtPr>
              <w:alias w:val="备查文件情况"/>
              <w:tag w:val="_GBC_a1af99b129a74e47a865dd7d29f8fd1f"/>
              <w:id w:val="2515648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tc>
                  <w:tcPr>
                    <w:tcW w:w="2294" w:type="dxa"/>
                    <w:vMerge w:val="restart"/>
                    <w:tcBorders>
                      <w:top w:val="single" w:color="auto" w:sz="4" w:space="0"/>
                      <w:left w:val="single" w:color="auto" w:sz="4" w:space="0"/>
                      <w:bottom w:val="single" w:color="auto" w:sz="4" w:space="0"/>
                      <w:right w:val="single" w:color="auto" w:sz="4" w:space="0"/>
                    </w:tcBorders>
                    <w:vAlign w:val="center"/>
                  </w:tcPr>
                  <w:sdt>
                    <w:sdtPr>
                      <w:tag w:val="_PLD_e16e7881e13f4f1dac756ba6eea36141"/>
                      <w:id w:val="25156486"/>
                      <w:lock w:val="sdtLocked"/>
                    </w:sdtPr>
                    <w:sdtContent>
                      <w:p>
                        <w:pPr>
                          <w:autoSpaceDE w:val="0"/>
                          <w:autoSpaceDN w:val="0"/>
                          <w:jc w:val="center"/>
                        </w:pPr>
                        <w:r>
                          <w:t>备查文件目录</w:t>
                        </w:r>
                      </w:p>
                    </w:sdtContent>
                  </w:sdt>
                </w:tc>
                <w:tc>
                  <w:tcPr>
                    <w:tcW w:w="6599" w:type="dxa"/>
                    <w:tcBorders>
                      <w:top w:val="single" w:color="auto" w:sz="4" w:space="0"/>
                      <w:left w:val="single" w:color="auto" w:sz="4" w:space="0"/>
                      <w:bottom w:val="single" w:color="auto" w:sz="4" w:space="0"/>
                      <w:right w:val="single" w:color="auto" w:sz="4" w:space="0"/>
                    </w:tcBorders>
                  </w:tcPr>
                  <w:p>
                    <w:pPr>
                      <w:autoSpaceDE w:val="0"/>
                      <w:autoSpaceDN w:val="0"/>
                    </w:pPr>
                    <w:r>
                      <w:t>载有法定代表人、主管会计工作负责人、会计机构负责人签名并盖章的财务报表。</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tc>
              <w:tcPr>
                <w:tcW w:w="2294" w:type="dxa"/>
                <w:vMerge w:val="continue"/>
                <w:tcBorders>
                  <w:top w:val="single" w:color="auto" w:sz="4" w:space="0"/>
                  <w:left w:val="single" w:color="auto" w:sz="4" w:space="0"/>
                  <w:bottom w:val="single" w:color="auto" w:sz="4" w:space="0"/>
                  <w:right w:val="single" w:color="auto" w:sz="4" w:space="0"/>
                </w:tcBorders>
                <w:vAlign w:val="center"/>
              </w:tcPr>
              <w:p/>
            </w:tc>
            <w:tc>
              <w:tcPr>
                <w:tcW w:w="6599" w:type="dxa"/>
                <w:tcBorders>
                  <w:top w:val="single" w:color="auto" w:sz="4" w:space="0"/>
                  <w:left w:val="single" w:color="auto" w:sz="4" w:space="0"/>
                  <w:bottom w:val="single" w:color="auto" w:sz="4" w:space="0"/>
                  <w:right w:val="single" w:color="auto" w:sz="4" w:space="0"/>
                </w:tcBorders>
              </w:tcPr>
              <w:p>
                <w:pPr>
                  <w:autoSpaceDE w:val="0"/>
                  <w:autoSpaceDN w:val="0"/>
                </w:pPr>
                <w:r>
                  <w:t>载有公司法定代表人签名并盖章的201</w:t>
                </w:r>
                <w:r>
                  <w:rPr>
                    <w:rFonts w:hint="eastAsia"/>
                  </w:rPr>
                  <w:t>8</w:t>
                </w:r>
                <w:r>
                  <w:t>年半年度报告全文及摘要。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tc>
              <w:tcPr>
                <w:tcW w:w="2294" w:type="dxa"/>
                <w:vMerge w:val="continue"/>
                <w:tcBorders>
                  <w:top w:val="single" w:color="auto" w:sz="4" w:space="0"/>
                  <w:left w:val="single" w:color="auto" w:sz="4" w:space="0"/>
                  <w:bottom w:val="single" w:color="auto" w:sz="4" w:space="0"/>
                  <w:right w:val="single" w:color="auto" w:sz="4" w:space="0"/>
                </w:tcBorders>
                <w:vAlign w:val="center"/>
              </w:tcPr>
              <w:p/>
            </w:tc>
            <w:tc>
              <w:tcPr>
                <w:tcW w:w="6599" w:type="dxa"/>
                <w:tcBorders>
                  <w:top w:val="single" w:color="auto" w:sz="4" w:space="0"/>
                  <w:left w:val="single" w:color="auto" w:sz="4" w:space="0"/>
                  <w:bottom w:val="single" w:color="auto" w:sz="4" w:space="0"/>
                  <w:right w:val="single" w:color="auto" w:sz="4" w:space="0"/>
                </w:tcBorders>
              </w:tcPr>
              <w:p>
                <w:pPr>
                  <w:autoSpaceDE w:val="0"/>
                  <w:autoSpaceDN w:val="0"/>
                </w:pPr>
                <w:r>
                  <w:t>报告期内在中国证监会指定报刊上公开披露过的所有公司文件的正本及公告的原稿。</w:t>
                </w:r>
              </w:p>
            </w:tc>
          </w:tr>
        </w:tbl>
        <w:p/>
        <w:p>
          <w:pPr>
            <w:wordWrap w:val="0"/>
            <w:spacing w:line="360" w:lineRule="exact"/>
            <w:jc w:val="right"/>
            <w:rPr>
              <w:u w:val="single"/>
            </w:rPr>
          </w:pPr>
          <w:r>
            <w:t>董事长：</w:t>
          </w:r>
          <w:sdt>
            <w:sdtPr>
              <w:alias w:val="报告发布人"/>
              <w:tag w:val="_GBC_c7ba2bb638cf41b594c93928cb88221a"/>
              <w:id w:val="25156440"/>
              <w:lock w:val="sdtLocked"/>
              <w:placeholder>
                <w:docPart w:val="GBC22222222222222222222222222222"/>
              </w:placeholder>
            </w:sdtPr>
            <w:sdtContent>
              <w:r>
                <w:rPr>
                  <w:rFonts w:hint="eastAsia"/>
                </w:rPr>
                <w:t>陈有升</w:t>
              </w:r>
            </w:sdtContent>
          </w:sdt>
          <w:r>
            <w:rPr>
              <w:rFonts w:hint="eastAsia"/>
            </w:rPr>
            <w:t xml:space="preserve"> </w:t>
          </w:r>
        </w:p>
        <w:p>
          <w:pPr>
            <w:spacing w:line="360" w:lineRule="exact"/>
            <w:jc w:val="right"/>
            <w:rPr>
              <w:color w:val="008000"/>
              <w:u w:val="single"/>
            </w:rPr>
          </w:pPr>
          <w:r>
            <w:t>董事会批准报送日期：</w:t>
          </w:r>
          <w:sdt>
            <w:sdtPr>
              <w:alias w:val="报告董事会批准报送日期"/>
              <w:tag w:val="_GBC_71049e7f7e514ae7b28070ad1a1eb831"/>
              <w:id w:val="25156441"/>
              <w:lock w:val="sdtLocked"/>
              <w:placeholder>
                <w:docPart w:val="GBC22222222222222222222222222222"/>
              </w:placeholder>
            </w:sdtPr>
            <w:sdtContent>
              <w:r>
                <w:rPr>
                  <w:rFonts w:hint="eastAsia"/>
                </w:rPr>
                <w:t>2018年8月15日</w:t>
              </w:r>
            </w:sdtContent>
          </w:sdt>
          <w:r>
            <w:rPr>
              <w:rFonts w:hint="eastAsia"/>
            </w:rPr>
            <w:t xml:space="preserve"> </w:t>
          </w:r>
        </w:p>
      </w:sdtContent>
    </w:sdt>
    <w:p>
      <w:pPr>
        <w:spacing w:line="360" w:lineRule="exact"/>
        <w:ind w:right="5"/>
        <w:rPr>
          <w:u w:val="single"/>
        </w:rPr>
      </w:pPr>
    </w:p>
    <w:p>
      <w:pPr>
        <w:rPr>
          <w:u w:val="single"/>
        </w:rPr>
      </w:pPr>
    </w:p>
    <w:sectPr>
      <w:pgSz w:w="11906" w:h="16838"/>
      <w:pgMar w:top="1525" w:right="1276" w:bottom="1440" w:left="1797" w:header="856"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Helvetica-Narrow">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宋体-方正超大字符集">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08834"/>
      <w:docPartObj>
        <w:docPartGallery w:val="AutoText"/>
      </w:docPartObj>
    </w:sdtPr>
    <w:sdtContent>
      <w:sdt>
        <w:sdtPr>
          <w:id w:val="98381352"/>
          <w:docPartObj>
            <w:docPartGallery w:val="AutoText"/>
          </w:docPartObj>
        </w:sdtPr>
        <w:sdtContent>
          <w:p>
            <w:pPr>
              <w:pStyle w:val="23"/>
              <w:jc w:val="cente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99</w:t>
            </w:r>
            <w:r>
              <w:rPr>
                <w:b/>
                <w:bCs/>
                <w:sz w:val="24"/>
                <w:szCs w:val="24"/>
              </w:rPr>
              <w:fldChar w:fldCharType="end"/>
            </w:r>
          </w:p>
        </w:sdtContent>
      </w:sdt>
    </w:sdtContent>
  </w:sdt>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8364"/>
        <w:tab w:val="left" w:pos="8505"/>
        <w:tab w:val="clear" w:pos="8306"/>
      </w:tabs>
      <w:ind w:right="21" w:rightChars="10"/>
      <w:rPr>
        <w:b/>
      </w:rPr>
    </w:pPr>
    <w:r>
      <w:rPr>
        <w:rFonts w:hint="eastAsia"/>
      </w:rPr>
      <w:t>201</w:t>
    </w:r>
    <w:r>
      <w:t>8</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00533058"/>
    <w:lvl w:ilvl="0" w:tentative="0">
      <w:start w:val="1"/>
      <w:numFmt w:val="decimal"/>
      <w:lvlText w:val="%1、"/>
      <w:lvlJc w:val="left"/>
      <w:pPr>
        <w:ind w:left="425" w:hanging="425"/>
      </w:pPr>
      <w:rPr>
        <w:rFonts w:hint="eastAsia" w:ascii="宋体" w:hAnsi="宋体" w:eastAsia="宋体"/>
        <w:color w:val="auto"/>
        <w:sz w:val="21"/>
        <w:szCs w:val="21"/>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11C35CC"/>
    <w:multiLevelType w:val="multilevel"/>
    <w:tmpl w:val="011C35C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1C7576E"/>
    <w:multiLevelType w:val="multilevel"/>
    <w:tmpl w:val="01C7576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4364DD5"/>
    <w:multiLevelType w:val="multilevel"/>
    <w:tmpl w:val="04364DD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DD62F7"/>
    <w:multiLevelType w:val="multilevel"/>
    <w:tmpl w:val="07DD62F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918050B"/>
    <w:multiLevelType w:val="multilevel"/>
    <w:tmpl w:val="0918050B"/>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98731CB"/>
    <w:multiLevelType w:val="multilevel"/>
    <w:tmpl w:val="098731CB"/>
    <w:lvl w:ilvl="0" w:tentative="0">
      <w:start w:val="1"/>
      <w:numFmt w:val="decimal"/>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50281D"/>
    <w:multiLevelType w:val="multilevel"/>
    <w:tmpl w:val="0B50281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1F5ED2"/>
    <w:multiLevelType w:val="multilevel"/>
    <w:tmpl w:val="0E1F5ED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04977C1"/>
    <w:multiLevelType w:val="multilevel"/>
    <w:tmpl w:val="104977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A00340"/>
    <w:multiLevelType w:val="multilevel"/>
    <w:tmpl w:val="10A00340"/>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EC0EF1"/>
    <w:multiLevelType w:val="multilevel"/>
    <w:tmpl w:val="12EC0EF1"/>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15621257"/>
    <w:multiLevelType w:val="multilevel"/>
    <w:tmpl w:val="1562125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169A565E"/>
    <w:multiLevelType w:val="multilevel"/>
    <w:tmpl w:val="169A565E"/>
    <w:lvl w:ilvl="0" w:tentative="0">
      <w:start w:val="1"/>
      <w:numFmt w:val="decimal"/>
      <w:lvlText w:val="%1"/>
      <w:lvlJc w:val="left"/>
      <w:pPr>
        <w:ind w:left="420" w:hanging="420"/>
      </w:pPr>
      <w:rPr>
        <w:rFonts w:hint="eastAsia" w:ascii="宋体" w:hAnsi="宋体" w:eastAsia="宋体"/>
        <w:b/>
      </w:rPr>
    </w:lvl>
    <w:lvl w:ilvl="1" w:tentative="0">
      <w:start w:val="1"/>
      <w:numFmt w:val="decimal"/>
      <w:suff w:val="nothing"/>
      <w:lvlText w:val="%2、"/>
      <w:lvlJc w:val="left"/>
      <w:pPr>
        <w:ind w:left="840" w:hanging="420"/>
      </w:pPr>
      <w:rPr>
        <w:rFonts w:hint="eastAsia" w:asciiTheme="minorEastAsia" w:hAnsiTheme="minorEastAsia" w:eastAsiaTheme="minorEastAsia"/>
        <w:b/>
      </w:rPr>
    </w:lvl>
    <w:lvl w:ilvl="2" w:tentative="0">
      <w:start w:val="1"/>
      <w:numFmt w:val="decimal"/>
      <w:lvlText w:val="%3."/>
      <w:lvlJc w:val="left"/>
      <w:pPr>
        <w:ind w:left="1260" w:hanging="420"/>
      </w:pPr>
      <w:rPr>
        <w:rFonts w:hint="eastAsia"/>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7316F2F"/>
    <w:multiLevelType w:val="multilevel"/>
    <w:tmpl w:val="17316F2F"/>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185F3408"/>
    <w:multiLevelType w:val="multilevel"/>
    <w:tmpl w:val="185F340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189259D1"/>
    <w:multiLevelType w:val="multilevel"/>
    <w:tmpl w:val="189259D1"/>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18A52FB9"/>
    <w:multiLevelType w:val="multilevel"/>
    <w:tmpl w:val="18A52FB9"/>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D11584D"/>
    <w:multiLevelType w:val="multilevel"/>
    <w:tmpl w:val="1D11584D"/>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1E235F8B"/>
    <w:multiLevelType w:val="multilevel"/>
    <w:tmpl w:val="1E235F8B"/>
    <w:lvl w:ilvl="0" w:tentative="0">
      <w:start w:val="1"/>
      <w:numFmt w:val="chineseCountingThousand"/>
      <w:lvlText w:val="第%1节"/>
      <w:lvlJc w:val="left"/>
      <w:pPr>
        <w:ind w:left="425" w:hanging="425"/>
      </w:pPr>
      <w:rPr>
        <w:rFonts w:hint="eastAsia"/>
        <w:color w:val="auto"/>
        <w:sz w:val="28"/>
        <w:szCs w:val="28"/>
        <w:u w:val="none"/>
        <w:lang w:val="en-US"/>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1F7158DD"/>
    <w:multiLevelType w:val="multilevel"/>
    <w:tmpl w:val="1F7158DD"/>
    <w:lvl w:ilvl="0" w:tentative="0">
      <w:start w:val="1"/>
      <w:numFmt w:val="decimal"/>
      <w:lvlText w:val="(%1). "/>
      <w:lvlJc w:val="left"/>
      <w:pPr>
        <w:ind w:left="704"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FD019D7"/>
    <w:multiLevelType w:val="multilevel"/>
    <w:tmpl w:val="1FD019D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204F3B0A"/>
    <w:multiLevelType w:val="multilevel"/>
    <w:tmpl w:val="204F3B0A"/>
    <w:lvl w:ilvl="0" w:tentative="0">
      <w:start w:val="1"/>
      <w:numFmt w:val="chineseCountingThousand"/>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3">
    <w:nsid w:val="20CE3D0E"/>
    <w:multiLevelType w:val="multilevel"/>
    <w:tmpl w:val="20CE3D0E"/>
    <w:lvl w:ilvl="0" w:tentative="0">
      <w:start w:val="1"/>
      <w:numFmt w:val="decimal"/>
      <w:lvlText w:val="(%1). "/>
      <w:lvlJc w:val="left"/>
      <w:pPr>
        <w:ind w:left="567" w:hanging="425"/>
      </w:pPr>
      <w:rPr>
        <w:rFonts w:hint="eastAsia" w:ascii="宋体" w:hAnsi="宋体" w:eastAsia="宋体"/>
        <w:color w:val="auto"/>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2121200C"/>
    <w:multiLevelType w:val="multilevel"/>
    <w:tmpl w:val="2121200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21516057"/>
    <w:multiLevelType w:val="multilevel"/>
    <w:tmpl w:val="2151605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21F9086D"/>
    <w:multiLevelType w:val="multilevel"/>
    <w:tmpl w:val="21F9086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246C0E3A"/>
    <w:multiLevelType w:val="multilevel"/>
    <w:tmpl w:val="246C0E3A"/>
    <w:lvl w:ilvl="0" w:tentative="0">
      <w:start w:val="1"/>
      <w:numFmt w:val="decimal"/>
      <w:lvlText w:val="(%1). "/>
      <w:lvlJc w:val="left"/>
      <w:pPr>
        <w:ind w:left="425" w:hanging="425"/>
      </w:pPr>
      <w:rPr>
        <w:rFonts w:hint="eastAsia"/>
        <w:color w:val="auto"/>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248E2347"/>
    <w:multiLevelType w:val="multilevel"/>
    <w:tmpl w:val="248E234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289B0843"/>
    <w:multiLevelType w:val="multilevel"/>
    <w:tmpl w:val="289B0843"/>
    <w:lvl w:ilvl="0" w:tentative="0">
      <w:start w:val="1"/>
      <w:numFmt w:val="decimal"/>
      <w:lvlText w:val="(%1). "/>
      <w:lvlJc w:val="left"/>
      <w:pPr>
        <w:ind w:left="420" w:hanging="420"/>
      </w:pPr>
      <w:rPr>
        <w:rFonts w:hint="eastAsia" w:ascii="宋体" w:hAnsi="宋体" w:eastAsia="宋体"/>
      </w:rPr>
    </w:lvl>
    <w:lvl w:ilvl="1" w:tentative="0">
      <w:start w:val="1"/>
      <w:numFmt w:val="decimal"/>
      <w:suff w:val="nothing"/>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AB9492A"/>
    <w:multiLevelType w:val="multilevel"/>
    <w:tmpl w:val="2AB9492A"/>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1">
    <w:nsid w:val="2ABA5091"/>
    <w:multiLevelType w:val="multilevel"/>
    <w:tmpl w:val="2ABA509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AF651E5"/>
    <w:multiLevelType w:val="multilevel"/>
    <w:tmpl w:val="2AF651E5"/>
    <w:lvl w:ilvl="0" w:tentative="0">
      <w:start w:val="1"/>
      <w:numFmt w:val="decimal"/>
      <w:suff w:val="nothing"/>
      <w:lvlText w:val="(%1). "/>
      <w:lvlJc w:val="left"/>
      <w:pPr>
        <w:ind w:left="420" w:hanging="420"/>
      </w:pPr>
      <w:rPr>
        <w:rFonts w:hint="eastAsia"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081EE9"/>
    <w:multiLevelType w:val="multilevel"/>
    <w:tmpl w:val="2B081EE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2C7D045A"/>
    <w:multiLevelType w:val="multilevel"/>
    <w:tmpl w:val="2C7D045A"/>
    <w:lvl w:ilvl="0" w:tentative="0">
      <w:start w:val="1"/>
      <w:numFmt w:val="decimal"/>
      <w:suff w:val="nothing"/>
      <w:lvlText w:val="%1、 "/>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D223BC3"/>
    <w:multiLevelType w:val="multilevel"/>
    <w:tmpl w:val="2D223BC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2DE55932"/>
    <w:multiLevelType w:val="multilevel"/>
    <w:tmpl w:val="2DE55932"/>
    <w:lvl w:ilvl="0" w:tentative="0">
      <w:start w:val="1"/>
      <w:numFmt w:val="chineseCountingThousand"/>
      <w:suff w:val="nothing"/>
      <w:lvlText w:val="%1、"/>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EDF5FFD"/>
    <w:multiLevelType w:val="multilevel"/>
    <w:tmpl w:val="2EDF5FFD"/>
    <w:lvl w:ilvl="0" w:tentative="0">
      <w:start w:val="1"/>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EE67383"/>
    <w:multiLevelType w:val="multilevel"/>
    <w:tmpl w:val="2EE6738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321F7C35"/>
    <w:multiLevelType w:val="multilevel"/>
    <w:tmpl w:val="321F7C3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0">
    <w:nsid w:val="333C38BB"/>
    <w:multiLevelType w:val="multilevel"/>
    <w:tmpl w:val="333C38BB"/>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3438131C"/>
    <w:multiLevelType w:val="multilevel"/>
    <w:tmpl w:val="3438131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356C3B2A"/>
    <w:multiLevelType w:val="multilevel"/>
    <w:tmpl w:val="356C3B2A"/>
    <w:lvl w:ilvl="0" w:tentative="0">
      <w:start w:val="1"/>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6214AF8"/>
    <w:multiLevelType w:val="multilevel"/>
    <w:tmpl w:val="36214AF8"/>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37C3610E"/>
    <w:multiLevelType w:val="multilevel"/>
    <w:tmpl w:val="37C3610E"/>
    <w:lvl w:ilvl="0" w:tentative="0">
      <w:start w:val="1"/>
      <w:numFmt w:val="chineseCountingThousand"/>
      <w:lvlText w:val="%1、"/>
      <w:lvlJc w:val="left"/>
      <w:pPr>
        <w:ind w:left="704" w:hanging="420"/>
      </w:pPr>
      <w:rPr>
        <w:rFonts w:hint="default"/>
        <w:b/>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83D41D3"/>
    <w:multiLevelType w:val="multilevel"/>
    <w:tmpl w:val="383D41D3"/>
    <w:lvl w:ilvl="0" w:tentative="0">
      <w:start w:val="1"/>
      <w:numFmt w:val="decimal"/>
      <w:lvlText w:val="(%1). "/>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6">
    <w:nsid w:val="3D2B6D0A"/>
    <w:multiLevelType w:val="multilevel"/>
    <w:tmpl w:val="3D2B6D0A"/>
    <w:lvl w:ilvl="0" w:tentative="0">
      <w:start w:val="1"/>
      <w:numFmt w:val="chineseCountingThousand"/>
      <w:lvlText w:val="(%1)"/>
      <w:lvlJc w:val="left"/>
      <w:pPr>
        <w:ind w:left="420" w:hanging="420"/>
      </w:pPr>
      <w:rPr>
        <w:rFonts w:hint="default" w:asciiTheme="minorHAnsi" w:hAnsiTheme="minorHAnsi"/>
      </w:r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D620F38"/>
    <w:multiLevelType w:val="multilevel"/>
    <w:tmpl w:val="3D620F38"/>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DC039A2"/>
    <w:multiLevelType w:val="multilevel"/>
    <w:tmpl w:val="3DC039A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3EA740FE"/>
    <w:multiLevelType w:val="multilevel"/>
    <w:tmpl w:val="3EA740FE"/>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0">
    <w:nsid w:val="41EC2B85"/>
    <w:multiLevelType w:val="multilevel"/>
    <w:tmpl w:val="41EC2B8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suff w:val="nothing"/>
      <w:lvlText w:val="(%4). "/>
      <w:lvlJc w:val="left"/>
      <w:pPr>
        <w:ind w:left="851" w:hanging="851"/>
      </w:pPr>
      <w:rPr>
        <w:rFonts w:hint="default" w:ascii="宋体" w:hAnsi="宋体" w:eastAsia="宋体"/>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1">
    <w:nsid w:val="42F33200"/>
    <w:multiLevelType w:val="multilevel"/>
    <w:tmpl w:val="42F332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5D95701"/>
    <w:multiLevelType w:val="multilevel"/>
    <w:tmpl w:val="45D9570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3">
    <w:nsid w:val="460F68C8"/>
    <w:multiLevelType w:val="multilevel"/>
    <w:tmpl w:val="460F68C8"/>
    <w:lvl w:ilvl="0" w:tentative="0">
      <w:start w:val="1"/>
      <w:numFmt w:val="chineseCountingThousand"/>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4802360A"/>
    <w:multiLevelType w:val="multilevel"/>
    <w:tmpl w:val="4802360A"/>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AC23DB8"/>
    <w:multiLevelType w:val="multilevel"/>
    <w:tmpl w:val="4AC23DB8"/>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AF02474"/>
    <w:multiLevelType w:val="multilevel"/>
    <w:tmpl w:val="4AF02474"/>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4B8A1F74"/>
    <w:multiLevelType w:val="multilevel"/>
    <w:tmpl w:val="4B8A1F74"/>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8">
    <w:nsid w:val="4D5D3C22"/>
    <w:multiLevelType w:val="multilevel"/>
    <w:tmpl w:val="4D5D3C2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E9B6002"/>
    <w:multiLevelType w:val="multilevel"/>
    <w:tmpl w:val="4E9B600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EAF4C3A"/>
    <w:multiLevelType w:val="multilevel"/>
    <w:tmpl w:val="4EAF4C3A"/>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511727FE"/>
    <w:multiLevelType w:val="multilevel"/>
    <w:tmpl w:val="511727FE"/>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2">
    <w:nsid w:val="51265863"/>
    <w:multiLevelType w:val="multilevel"/>
    <w:tmpl w:val="51265863"/>
    <w:lvl w:ilvl="0" w:tentative="0">
      <w:start w:val="1"/>
      <w:numFmt w:val="chineseCountingThousand"/>
      <w:lvlText w:val="(%1)"/>
      <w:lvlJc w:val="left"/>
      <w:pPr>
        <w:ind w:left="420" w:hanging="420"/>
      </w:p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141766E"/>
    <w:multiLevelType w:val="multilevel"/>
    <w:tmpl w:val="5141766E"/>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52461678"/>
    <w:multiLevelType w:val="multilevel"/>
    <w:tmpl w:val="52461678"/>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542027AB"/>
    <w:multiLevelType w:val="multilevel"/>
    <w:tmpl w:val="542027AB"/>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73E1F07"/>
    <w:multiLevelType w:val="multilevel"/>
    <w:tmpl w:val="573E1F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7D70C03"/>
    <w:multiLevelType w:val="multilevel"/>
    <w:tmpl w:val="57D70C0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8">
    <w:nsid w:val="58433A16"/>
    <w:multiLevelType w:val="multilevel"/>
    <w:tmpl w:val="58433A1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9">
    <w:nsid w:val="59862246"/>
    <w:multiLevelType w:val="multilevel"/>
    <w:tmpl w:val="59862246"/>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0">
    <w:nsid w:val="5C673432"/>
    <w:multiLevelType w:val="multilevel"/>
    <w:tmpl w:val="5C67343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1">
    <w:nsid w:val="60421A59"/>
    <w:multiLevelType w:val="multilevel"/>
    <w:tmpl w:val="60421A5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34A69CA"/>
    <w:multiLevelType w:val="multilevel"/>
    <w:tmpl w:val="634A69C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3C25BDC"/>
    <w:multiLevelType w:val="multilevel"/>
    <w:tmpl w:val="63C25BDC"/>
    <w:lvl w:ilvl="0" w:tentative="0">
      <w:start w:val="1"/>
      <w:numFmt w:val="decimal"/>
      <w:lvlText w:val="(%1). "/>
      <w:lvlJc w:val="left"/>
      <w:pPr>
        <w:ind w:left="425" w:hanging="425"/>
      </w:pPr>
      <w:rPr>
        <w:rFonts w:hint="eastAsia" w:ascii="宋体" w:hAnsi="宋体" w:eastAsia="宋体"/>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4">
    <w:nsid w:val="6505491D"/>
    <w:multiLevelType w:val="multilevel"/>
    <w:tmpl w:val="6505491D"/>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5">
    <w:nsid w:val="694D0F71"/>
    <w:multiLevelType w:val="multilevel"/>
    <w:tmpl w:val="694D0F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A242BF2"/>
    <w:multiLevelType w:val="multilevel"/>
    <w:tmpl w:val="6A242BF2"/>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D7319EB"/>
    <w:multiLevelType w:val="multilevel"/>
    <w:tmpl w:val="6D7319EB"/>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8">
    <w:nsid w:val="6E225922"/>
    <w:multiLevelType w:val="multilevel"/>
    <w:tmpl w:val="6E225922"/>
    <w:lvl w:ilvl="0" w:tentative="0">
      <w:start w:val="1"/>
      <w:numFmt w:val="decimal"/>
      <w:lvlText w:val="(%1). "/>
      <w:lvlJc w:val="left"/>
      <w:pPr>
        <w:ind w:left="425" w:hanging="425"/>
      </w:pPr>
      <w:rPr>
        <w:rFonts w:hint="eastAsia" w:ascii="宋体" w:hAnsi="宋体" w:eastAsia="宋体"/>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9">
    <w:nsid w:val="6F111C3A"/>
    <w:multiLevelType w:val="multilevel"/>
    <w:tmpl w:val="6F111C3A"/>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0">
    <w:nsid w:val="701D5786"/>
    <w:multiLevelType w:val="multilevel"/>
    <w:tmpl w:val="701D578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1">
    <w:nsid w:val="70E42A22"/>
    <w:multiLevelType w:val="multilevel"/>
    <w:tmpl w:val="70E42A22"/>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2">
    <w:nsid w:val="72742E11"/>
    <w:multiLevelType w:val="multilevel"/>
    <w:tmpl w:val="72742E11"/>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728231A6"/>
    <w:multiLevelType w:val="multilevel"/>
    <w:tmpl w:val="728231A6"/>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2921865"/>
    <w:multiLevelType w:val="multilevel"/>
    <w:tmpl w:val="72921865"/>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5">
    <w:nsid w:val="739563DA"/>
    <w:multiLevelType w:val="multilevel"/>
    <w:tmpl w:val="739563DA"/>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6">
    <w:nsid w:val="73FB28AC"/>
    <w:multiLevelType w:val="multilevel"/>
    <w:tmpl w:val="73FB28AC"/>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7">
    <w:nsid w:val="750508FB"/>
    <w:multiLevelType w:val="multilevel"/>
    <w:tmpl w:val="750508FB"/>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8">
    <w:nsid w:val="76B4167B"/>
    <w:multiLevelType w:val="multilevel"/>
    <w:tmpl w:val="76B4167B"/>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7111D1D"/>
    <w:multiLevelType w:val="multilevel"/>
    <w:tmpl w:val="77111D1D"/>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0">
    <w:nsid w:val="787035DE"/>
    <w:multiLevelType w:val="multilevel"/>
    <w:tmpl w:val="787035DE"/>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B1E025F"/>
    <w:multiLevelType w:val="multilevel"/>
    <w:tmpl w:val="7B1E025F"/>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B606A2D"/>
    <w:multiLevelType w:val="multilevel"/>
    <w:tmpl w:val="7B606A2D"/>
    <w:lvl w:ilvl="0" w:tentative="0">
      <w:start w:val="1"/>
      <w:numFmt w:val="decimal"/>
      <w:lvlText w:val="(%1). "/>
      <w:lvlJc w:val="left"/>
      <w:pPr>
        <w:ind w:left="420" w:hanging="420"/>
      </w:pPr>
      <w:rPr>
        <w:rFonts w:hint="eastAsia"/>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3">
    <w:nsid w:val="7C0C1B4F"/>
    <w:multiLevelType w:val="multilevel"/>
    <w:tmpl w:val="7C0C1B4F"/>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suff w:val="nothing"/>
      <w:lvlText w:val="(%4). "/>
      <w:lvlJc w:val="left"/>
      <w:pPr>
        <w:ind w:left="0" w:firstLine="0"/>
      </w:pPr>
      <w:rPr>
        <w:rFonts w:hint="eastAsia" w:ascii="宋体" w:hAnsi="宋体" w:eastAsia="宋体"/>
        <w:b/>
        <w:color w:val="auto"/>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4">
    <w:nsid w:val="7C2B486F"/>
    <w:multiLevelType w:val="multilevel"/>
    <w:tmpl w:val="7C2B486F"/>
    <w:lvl w:ilvl="0" w:tentative="0">
      <w:start w:val="1"/>
      <w:numFmt w:val="decimal"/>
      <w:suff w:val="nothing"/>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D07444B"/>
    <w:multiLevelType w:val="multilevel"/>
    <w:tmpl w:val="7D07444B"/>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4"/>
  </w:num>
  <w:num w:numId="2">
    <w:abstractNumId w:val="19"/>
  </w:num>
  <w:num w:numId="3">
    <w:abstractNumId w:val="27"/>
  </w:num>
  <w:num w:numId="4">
    <w:abstractNumId w:val="22"/>
  </w:num>
  <w:num w:numId="5">
    <w:abstractNumId w:val="9"/>
  </w:num>
  <w:num w:numId="6">
    <w:abstractNumId w:val="36"/>
  </w:num>
  <w:num w:numId="7">
    <w:abstractNumId w:val="46"/>
  </w:num>
  <w:num w:numId="8">
    <w:abstractNumId w:val="13"/>
  </w:num>
  <w:num w:numId="9">
    <w:abstractNumId w:val="37"/>
  </w:num>
  <w:num w:numId="10">
    <w:abstractNumId w:val="18"/>
  </w:num>
  <w:num w:numId="11">
    <w:abstractNumId w:val="59"/>
  </w:num>
  <w:num w:numId="12">
    <w:abstractNumId w:val="83"/>
  </w:num>
  <w:num w:numId="13">
    <w:abstractNumId w:val="66"/>
  </w:num>
  <w:num w:numId="14">
    <w:abstractNumId w:val="84"/>
  </w:num>
  <w:num w:numId="15">
    <w:abstractNumId w:val="17"/>
  </w:num>
  <w:num w:numId="16">
    <w:abstractNumId w:val="21"/>
  </w:num>
  <w:num w:numId="17">
    <w:abstractNumId w:val="75"/>
  </w:num>
  <w:num w:numId="18">
    <w:abstractNumId w:val="30"/>
  </w:num>
  <w:num w:numId="19">
    <w:abstractNumId w:val="52"/>
  </w:num>
  <w:num w:numId="20">
    <w:abstractNumId w:val="91"/>
  </w:num>
  <w:num w:numId="21">
    <w:abstractNumId w:val="65"/>
  </w:num>
  <w:num w:numId="22">
    <w:abstractNumId w:val="47"/>
  </w:num>
  <w:num w:numId="23">
    <w:abstractNumId w:val="55"/>
  </w:num>
  <w:num w:numId="24">
    <w:abstractNumId w:val="3"/>
  </w:num>
  <w:num w:numId="25">
    <w:abstractNumId w:val="35"/>
  </w:num>
  <w:num w:numId="26">
    <w:abstractNumId w:val="7"/>
  </w:num>
  <w:num w:numId="27">
    <w:abstractNumId w:val="31"/>
  </w:num>
  <w:num w:numId="28">
    <w:abstractNumId w:val="81"/>
  </w:num>
  <w:num w:numId="29">
    <w:abstractNumId w:val="70"/>
  </w:num>
  <w:num w:numId="30">
    <w:abstractNumId w:val="12"/>
  </w:num>
  <w:num w:numId="31">
    <w:abstractNumId w:val="72"/>
  </w:num>
  <w:num w:numId="32">
    <w:abstractNumId w:val="26"/>
  </w:num>
  <w:num w:numId="33">
    <w:abstractNumId w:val="53"/>
  </w:num>
  <w:num w:numId="34">
    <w:abstractNumId w:val="89"/>
  </w:num>
  <w:num w:numId="35">
    <w:abstractNumId w:val="51"/>
  </w:num>
  <w:num w:numId="36">
    <w:abstractNumId w:val="48"/>
  </w:num>
  <w:num w:numId="37">
    <w:abstractNumId w:val="2"/>
  </w:num>
  <w:num w:numId="38">
    <w:abstractNumId w:val="38"/>
  </w:num>
  <w:num w:numId="39">
    <w:abstractNumId w:val="24"/>
  </w:num>
  <w:num w:numId="40">
    <w:abstractNumId w:val="79"/>
  </w:num>
  <w:num w:numId="41">
    <w:abstractNumId w:val="5"/>
  </w:num>
  <w:num w:numId="42">
    <w:abstractNumId w:val="82"/>
  </w:num>
  <w:num w:numId="43">
    <w:abstractNumId w:val="16"/>
  </w:num>
  <w:num w:numId="44">
    <w:abstractNumId w:val="64"/>
  </w:num>
  <w:num w:numId="45">
    <w:abstractNumId w:val="80"/>
  </w:num>
  <w:num w:numId="46">
    <w:abstractNumId w:val="88"/>
  </w:num>
  <w:num w:numId="47">
    <w:abstractNumId w:val="50"/>
  </w:num>
  <w:num w:numId="48">
    <w:abstractNumId w:val="15"/>
  </w:num>
  <w:num w:numId="49">
    <w:abstractNumId w:val="11"/>
  </w:num>
  <w:num w:numId="50">
    <w:abstractNumId w:val="85"/>
  </w:num>
  <w:num w:numId="51">
    <w:abstractNumId w:val="39"/>
  </w:num>
  <w:num w:numId="52">
    <w:abstractNumId w:val="4"/>
  </w:num>
  <w:num w:numId="53">
    <w:abstractNumId w:val="78"/>
  </w:num>
  <w:num w:numId="54">
    <w:abstractNumId w:val="29"/>
  </w:num>
  <w:num w:numId="55">
    <w:abstractNumId w:val="28"/>
  </w:num>
  <w:num w:numId="56">
    <w:abstractNumId w:val="40"/>
  </w:num>
  <w:num w:numId="57">
    <w:abstractNumId w:val="92"/>
  </w:num>
  <w:num w:numId="58">
    <w:abstractNumId w:val="14"/>
  </w:num>
  <w:num w:numId="59">
    <w:abstractNumId w:val="45"/>
  </w:num>
  <w:num w:numId="60">
    <w:abstractNumId w:val="87"/>
  </w:num>
  <w:num w:numId="61">
    <w:abstractNumId w:val="42"/>
  </w:num>
  <w:num w:numId="62">
    <w:abstractNumId w:val="90"/>
  </w:num>
  <w:num w:numId="63">
    <w:abstractNumId w:val="56"/>
  </w:num>
  <w:num w:numId="64">
    <w:abstractNumId w:val="73"/>
  </w:num>
  <w:num w:numId="65">
    <w:abstractNumId w:val="32"/>
  </w:num>
  <w:num w:numId="66">
    <w:abstractNumId w:val="95"/>
  </w:num>
  <w:num w:numId="67">
    <w:abstractNumId w:val="93"/>
  </w:num>
  <w:num w:numId="68">
    <w:abstractNumId w:val="20"/>
  </w:num>
  <w:num w:numId="69">
    <w:abstractNumId w:val="10"/>
  </w:num>
  <w:num w:numId="70">
    <w:abstractNumId w:val="76"/>
  </w:num>
  <w:num w:numId="71">
    <w:abstractNumId w:val="74"/>
  </w:num>
  <w:num w:numId="72">
    <w:abstractNumId w:val="25"/>
  </w:num>
  <w:num w:numId="73">
    <w:abstractNumId w:val="54"/>
  </w:num>
  <w:num w:numId="74">
    <w:abstractNumId w:val="68"/>
  </w:num>
  <w:num w:numId="75">
    <w:abstractNumId w:val="58"/>
  </w:num>
  <w:num w:numId="76">
    <w:abstractNumId w:val="1"/>
  </w:num>
  <w:num w:numId="77">
    <w:abstractNumId w:val="71"/>
  </w:num>
  <w:num w:numId="78">
    <w:abstractNumId w:val="57"/>
  </w:num>
  <w:num w:numId="79">
    <w:abstractNumId w:val="61"/>
  </w:num>
  <w:num w:numId="80">
    <w:abstractNumId w:val="86"/>
  </w:num>
  <w:num w:numId="81">
    <w:abstractNumId w:val="41"/>
  </w:num>
  <w:num w:numId="82">
    <w:abstractNumId w:val="8"/>
  </w:num>
  <w:num w:numId="83">
    <w:abstractNumId w:val="63"/>
  </w:num>
  <w:num w:numId="84">
    <w:abstractNumId w:val="77"/>
  </w:num>
  <w:num w:numId="85">
    <w:abstractNumId w:val="49"/>
  </w:num>
  <w:num w:numId="86">
    <w:abstractNumId w:val="67"/>
  </w:num>
  <w:num w:numId="87">
    <w:abstractNumId w:val="60"/>
  </w:num>
  <w:num w:numId="88">
    <w:abstractNumId w:val="33"/>
  </w:num>
  <w:num w:numId="89">
    <w:abstractNumId w:val="69"/>
  </w:num>
  <w:num w:numId="90">
    <w:abstractNumId w:val="43"/>
  </w:num>
  <w:num w:numId="91">
    <w:abstractNumId w:val="6"/>
  </w:num>
  <w:num w:numId="92">
    <w:abstractNumId w:val="62"/>
  </w:num>
  <w:num w:numId="93">
    <w:abstractNumId w:val="0"/>
  </w:num>
  <w:num w:numId="94">
    <w:abstractNumId w:val="23"/>
  </w:num>
  <w:num w:numId="95">
    <w:abstractNumId w:val="94"/>
  </w:num>
  <w:num w:numId="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102D"/>
    <w:rsid w:val="00001469"/>
    <w:rsid w:val="00001B33"/>
    <w:rsid w:val="00001E8C"/>
    <w:rsid w:val="0000230E"/>
    <w:rsid w:val="000023F5"/>
    <w:rsid w:val="00002545"/>
    <w:rsid w:val="000028BC"/>
    <w:rsid w:val="00002973"/>
    <w:rsid w:val="000033A6"/>
    <w:rsid w:val="0000372D"/>
    <w:rsid w:val="00003C39"/>
    <w:rsid w:val="0000464C"/>
    <w:rsid w:val="000048B5"/>
    <w:rsid w:val="00004ADF"/>
    <w:rsid w:val="00004E58"/>
    <w:rsid w:val="00005071"/>
    <w:rsid w:val="0000562D"/>
    <w:rsid w:val="0000568D"/>
    <w:rsid w:val="000061CF"/>
    <w:rsid w:val="00006F23"/>
    <w:rsid w:val="00007082"/>
    <w:rsid w:val="00007207"/>
    <w:rsid w:val="00007BBD"/>
    <w:rsid w:val="00010147"/>
    <w:rsid w:val="0001033D"/>
    <w:rsid w:val="0001041D"/>
    <w:rsid w:val="0001046B"/>
    <w:rsid w:val="000121BF"/>
    <w:rsid w:val="000122EE"/>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435"/>
    <w:rsid w:val="00016625"/>
    <w:rsid w:val="00016D21"/>
    <w:rsid w:val="000176B6"/>
    <w:rsid w:val="00017D54"/>
    <w:rsid w:val="00020074"/>
    <w:rsid w:val="000203A5"/>
    <w:rsid w:val="000205AB"/>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11AF"/>
    <w:rsid w:val="0004146D"/>
    <w:rsid w:val="00041525"/>
    <w:rsid w:val="00041800"/>
    <w:rsid w:val="00041AC3"/>
    <w:rsid w:val="00041C07"/>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4DB"/>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CE3"/>
    <w:rsid w:val="000517E2"/>
    <w:rsid w:val="00051BE5"/>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6FA5"/>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54C"/>
    <w:rsid w:val="00073BC2"/>
    <w:rsid w:val="000745DB"/>
    <w:rsid w:val="00074C4E"/>
    <w:rsid w:val="0007507D"/>
    <w:rsid w:val="00075C45"/>
    <w:rsid w:val="00075E3A"/>
    <w:rsid w:val="00075E54"/>
    <w:rsid w:val="00076117"/>
    <w:rsid w:val="000764FD"/>
    <w:rsid w:val="00077397"/>
    <w:rsid w:val="000778E2"/>
    <w:rsid w:val="0008036E"/>
    <w:rsid w:val="00080509"/>
    <w:rsid w:val="000805BB"/>
    <w:rsid w:val="000808F7"/>
    <w:rsid w:val="0008095D"/>
    <w:rsid w:val="00080A0F"/>
    <w:rsid w:val="00081D4A"/>
    <w:rsid w:val="0008231D"/>
    <w:rsid w:val="00082700"/>
    <w:rsid w:val="00082A1A"/>
    <w:rsid w:val="00082E5B"/>
    <w:rsid w:val="000830E6"/>
    <w:rsid w:val="0008328D"/>
    <w:rsid w:val="0008332B"/>
    <w:rsid w:val="00083382"/>
    <w:rsid w:val="000837F0"/>
    <w:rsid w:val="000839C3"/>
    <w:rsid w:val="00083C1E"/>
    <w:rsid w:val="00084008"/>
    <w:rsid w:val="000841ED"/>
    <w:rsid w:val="00084531"/>
    <w:rsid w:val="00084634"/>
    <w:rsid w:val="00084A03"/>
    <w:rsid w:val="00084A3C"/>
    <w:rsid w:val="00085C6B"/>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A3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52B"/>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038"/>
    <w:rsid w:val="000C01B8"/>
    <w:rsid w:val="000C0519"/>
    <w:rsid w:val="000C0C72"/>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4C21"/>
    <w:rsid w:val="000C51AC"/>
    <w:rsid w:val="000C52A2"/>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26CD"/>
    <w:rsid w:val="000D28CF"/>
    <w:rsid w:val="000D29E2"/>
    <w:rsid w:val="000D2C5E"/>
    <w:rsid w:val="000D2F52"/>
    <w:rsid w:val="000D3B03"/>
    <w:rsid w:val="000D3B07"/>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C67"/>
    <w:rsid w:val="000E6CD7"/>
    <w:rsid w:val="000E6F8A"/>
    <w:rsid w:val="000E70DA"/>
    <w:rsid w:val="000E7291"/>
    <w:rsid w:val="000E7956"/>
    <w:rsid w:val="000E7A93"/>
    <w:rsid w:val="000E7F24"/>
    <w:rsid w:val="000F025D"/>
    <w:rsid w:val="000F0456"/>
    <w:rsid w:val="000F04EC"/>
    <w:rsid w:val="000F0542"/>
    <w:rsid w:val="000F0CF0"/>
    <w:rsid w:val="000F19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5CA"/>
    <w:rsid w:val="00101B38"/>
    <w:rsid w:val="001022D3"/>
    <w:rsid w:val="001026CF"/>
    <w:rsid w:val="0010345C"/>
    <w:rsid w:val="0010356C"/>
    <w:rsid w:val="001036AD"/>
    <w:rsid w:val="001038D1"/>
    <w:rsid w:val="00103BDD"/>
    <w:rsid w:val="00104087"/>
    <w:rsid w:val="001044B7"/>
    <w:rsid w:val="001044EA"/>
    <w:rsid w:val="001048FE"/>
    <w:rsid w:val="00105238"/>
    <w:rsid w:val="00105921"/>
    <w:rsid w:val="001059DB"/>
    <w:rsid w:val="00105F72"/>
    <w:rsid w:val="00106740"/>
    <w:rsid w:val="00107599"/>
    <w:rsid w:val="00107A8E"/>
    <w:rsid w:val="00107CD9"/>
    <w:rsid w:val="0011023E"/>
    <w:rsid w:val="00110611"/>
    <w:rsid w:val="00110717"/>
    <w:rsid w:val="00110D00"/>
    <w:rsid w:val="00111504"/>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678"/>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A9A"/>
    <w:rsid w:val="0013708F"/>
    <w:rsid w:val="001372F3"/>
    <w:rsid w:val="00137861"/>
    <w:rsid w:val="00137C75"/>
    <w:rsid w:val="00140099"/>
    <w:rsid w:val="001406FF"/>
    <w:rsid w:val="0014081B"/>
    <w:rsid w:val="00140BD7"/>
    <w:rsid w:val="00140D9B"/>
    <w:rsid w:val="00140E08"/>
    <w:rsid w:val="00141331"/>
    <w:rsid w:val="00141419"/>
    <w:rsid w:val="00141BE5"/>
    <w:rsid w:val="00142014"/>
    <w:rsid w:val="001420C3"/>
    <w:rsid w:val="0014231A"/>
    <w:rsid w:val="00142509"/>
    <w:rsid w:val="0014259C"/>
    <w:rsid w:val="00142E7D"/>
    <w:rsid w:val="00143309"/>
    <w:rsid w:val="0014344C"/>
    <w:rsid w:val="00143975"/>
    <w:rsid w:val="001439EE"/>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8B9"/>
    <w:rsid w:val="00147900"/>
    <w:rsid w:val="00147BFC"/>
    <w:rsid w:val="00147DB1"/>
    <w:rsid w:val="001508C9"/>
    <w:rsid w:val="00150E78"/>
    <w:rsid w:val="001511B5"/>
    <w:rsid w:val="0015156E"/>
    <w:rsid w:val="0015159B"/>
    <w:rsid w:val="001516EE"/>
    <w:rsid w:val="00151EEF"/>
    <w:rsid w:val="00152156"/>
    <w:rsid w:val="00152172"/>
    <w:rsid w:val="0015290B"/>
    <w:rsid w:val="00152B5E"/>
    <w:rsid w:val="00152FE0"/>
    <w:rsid w:val="00153852"/>
    <w:rsid w:val="00153F4B"/>
    <w:rsid w:val="00154101"/>
    <w:rsid w:val="001541EB"/>
    <w:rsid w:val="001543D4"/>
    <w:rsid w:val="0015445C"/>
    <w:rsid w:val="0015450F"/>
    <w:rsid w:val="00154B6D"/>
    <w:rsid w:val="00154E9A"/>
    <w:rsid w:val="0015523D"/>
    <w:rsid w:val="00155FB6"/>
    <w:rsid w:val="001564C9"/>
    <w:rsid w:val="00156C03"/>
    <w:rsid w:val="00156F5B"/>
    <w:rsid w:val="00157106"/>
    <w:rsid w:val="00157457"/>
    <w:rsid w:val="0015748D"/>
    <w:rsid w:val="001575B8"/>
    <w:rsid w:val="001575F4"/>
    <w:rsid w:val="001578D8"/>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50"/>
    <w:rsid w:val="00170650"/>
    <w:rsid w:val="0017134C"/>
    <w:rsid w:val="001715BD"/>
    <w:rsid w:val="00172834"/>
    <w:rsid w:val="00172B99"/>
    <w:rsid w:val="00173329"/>
    <w:rsid w:val="00173583"/>
    <w:rsid w:val="00173821"/>
    <w:rsid w:val="00174A05"/>
    <w:rsid w:val="001754A4"/>
    <w:rsid w:val="00175A98"/>
    <w:rsid w:val="00176294"/>
    <w:rsid w:val="00176395"/>
    <w:rsid w:val="0017692B"/>
    <w:rsid w:val="00176E6E"/>
    <w:rsid w:val="00176E78"/>
    <w:rsid w:val="00176F28"/>
    <w:rsid w:val="00177133"/>
    <w:rsid w:val="00177D11"/>
    <w:rsid w:val="00177F7C"/>
    <w:rsid w:val="0018000D"/>
    <w:rsid w:val="00180E29"/>
    <w:rsid w:val="00180F49"/>
    <w:rsid w:val="001815B8"/>
    <w:rsid w:val="001816A6"/>
    <w:rsid w:val="00181F43"/>
    <w:rsid w:val="0018228D"/>
    <w:rsid w:val="00182367"/>
    <w:rsid w:val="001826DB"/>
    <w:rsid w:val="0018280C"/>
    <w:rsid w:val="00182BAC"/>
    <w:rsid w:val="0018313C"/>
    <w:rsid w:val="00183957"/>
    <w:rsid w:val="0018413C"/>
    <w:rsid w:val="001844E5"/>
    <w:rsid w:val="00184530"/>
    <w:rsid w:val="001847E6"/>
    <w:rsid w:val="00184EB1"/>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F95"/>
    <w:rsid w:val="00195857"/>
    <w:rsid w:val="00195A1C"/>
    <w:rsid w:val="00195DE7"/>
    <w:rsid w:val="00195DFE"/>
    <w:rsid w:val="00196123"/>
    <w:rsid w:val="00196E4C"/>
    <w:rsid w:val="00196F3D"/>
    <w:rsid w:val="0019711B"/>
    <w:rsid w:val="001976BC"/>
    <w:rsid w:val="0019788A"/>
    <w:rsid w:val="0019799A"/>
    <w:rsid w:val="00197C0F"/>
    <w:rsid w:val="001A02FE"/>
    <w:rsid w:val="001A0769"/>
    <w:rsid w:val="001A0BFC"/>
    <w:rsid w:val="001A0C34"/>
    <w:rsid w:val="001A0F7A"/>
    <w:rsid w:val="001A116E"/>
    <w:rsid w:val="001A1A11"/>
    <w:rsid w:val="001A2056"/>
    <w:rsid w:val="001A2255"/>
    <w:rsid w:val="001A25C7"/>
    <w:rsid w:val="001A26F2"/>
    <w:rsid w:val="001A27A6"/>
    <w:rsid w:val="001A27D1"/>
    <w:rsid w:val="001A2AD1"/>
    <w:rsid w:val="001A2B2B"/>
    <w:rsid w:val="001A3215"/>
    <w:rsid w:val="001A3375"/>
    <w:rsid w:val="001A35C2"/>
    <w:rsid w:val="001A3637"/>
    <w:rsid w:val="001A37C6"/>
    <w:rsid w:val="001A3C77"/>
    <w:rsid w:val="001A409E"/>
    <w:rsid w:val="001A4780"/>
    <w:rsid w:val="001A4B57"/>
    <w:rsid w:val="001A4F7F"/>
    <w:rsid w:val="001A5089"/>
    <w:rsid w:val="001A5C8D"/>
    <w:rsid w:val="001A6342"/>
    <w:rsid w:val="001A652B"/>
    <w:rsid w:val="001A657D"/>
    <w:rsid w:val="001A7546"/>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55DF"/>
    <w:rsid w:val="001B5EAC"/>
    <w:rsid w:val="001B616C"/>
    <w:rsid w:val="001B627A"/>
    <w:rsid w:val="001B63F7"/>
    <w:rsid w:val="001B6C5E"/>
    <w:rsid w:val="001B713D"/>
    <w:rsid w:val="001B75FB"/>
    <w:rsid w:val="001B76F4"/>
    <w:rsid w:val="001B77C3"/>
    <w:rsid w:val="001C0611"/>
    <w:rsid w:val="001C0653"/>
    <w:rsid w:val="001C0748"/>
    <w:rsid w:val="001C114E"/>
    <w:rsid w:val="001C1BF1"/>
    <w:rsid w:val="001C1EEF"/>
    <w:rsid w:val="001C24BF"/>
    <w:rsid w:val="001C2748"/>
    <w:rsid w:val="001C2900"/>
    <w:rsid w:val="001C2BDA"/>
    <w:rsid w:val="001C2C05"/>
    <w:rsid w:val="001C2E70"/>
    <w:rsid w:val="001C2F81"/>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3F3"/>
    <w:rsid w:val="001D14AC"/>
    <w:rsid w:val="001D169E"/>
    <w:rsid w:val="001D19A9"/>
    <w:rsid w:val="001D1AF1"/>
    <w:rsid w:val="001D2208"/>
    <w:rsid w:val="001D25CB"/>
    <w:rsid w:val="001D272E"/>
    <w:rsid w:val="001D285A"/>
    <w:rsid w:val="001D2ABC"/>
    <w:rsid w:val="001D2C3C"/>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DCA"/>
    <w:rsid w:val="001F30EE"/>
    <w:rsid w:val="001F3221"/>
    <w:rsid w:val="001F33A0"/>
    <w:rsid w:val="001F3AE4"/>
    <w:rsid w:val="001F3C0E"/>
    <w:rsid w:val="001F3C4B"/>
    <w:rsid w:val="001F3E2C"/>
    <w:rsid w:val="001F4B16"/>
    <w:rsid w:val="001F4C39"/>
    <w:rsid w:val="001F65A3"/>
    <w:rsid w:val="001F6856"/>
    <w:rsid w:val="001F73D9"/>
    <w:rsid w:val="001F7478"/>
    <w:rsid w:val="001F79C6"/>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9FA"/>
    <w:rsid w:val="002051D4"/>
    <w:rsid w:val="00205758"/>
    <w:rsid w:val="00205782"/>
    <w:rsid w:val="00205B56"/>
    <w:rsid w:val="00205C40"/>
    <w:rsid w:val="00205D66"/>
    <w:rsid w:val="00205EF7"/>
    <w:rsid w:val="0020640C"/>
    <w:rsid w:val="002069B7"/>
    <w:rsid w:val="00206B72"/>
    <w:rsid w:val="00206E87"/>
    <w:rsid w:val="00206F81"/>
    <w:rsid w:val="00207016"/>
    <w:rsid w:val="00207034"/>
    <w:rsid w:val="00207622"/>
    <w:rsid w:val="002104A6"/>
    <w:rsid w:val="00210673"/>
    <w:rsid w:val="00210D2D"/>
    <w:rsid w:val="0021164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635"/>
    <w:rsid w:val="002168AE"/>
    <w:rsid w:val="00216C14"/>
    <w:rsid w:val="00216E8F"/>
    <w:rsid w:val="00217811"/>
    <w:rsid w:val="00220B91"/>
    <w:rsid w:val="00220E16"/>
    <w:rsid w:val="00221055"/>
    <w:rsid w:val="00221421"/>
    <w:rsid w:val="00221450"/>
    <w:rsid w:val="002214C9"/>
    <w:rsid w:val="00221D4E"/>
    <w:rsid w:val="00221EF8"/>
    <w:rsid w:val="00221F4F"/>
    <w:rsid w:val="002224A3"/>
    <w:rsid w:val="00223A42"/>
    <w:rsid w:val="00224104"/>
    <w:rsid w:val="00224DB1"/>
    <w:rsid w:val="00225079"/>
    <w:rsid w:val="00225113"/>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0E0E"/>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F8F"/>
    <w:rsid w:val="0023402A"/>
    <w:rsid w:val="00234111"/>
    <w:rsid w:val="002344EC"/>
    <w:rsid w:val="0023468B"/>
    <w:rsid w:val="00234B4B"/>
    <w:rsid w:val="00235448"/>
    <w:rsid w:val="0023599E"/>
    <w:rsid w:val="00235F58"/>
    <w:rsid w:val="002366DD"/>
    <w:rsid w:val="0023677E"/>
    <w:rsid w:val="00237721"/>
    <w:rsid w:val="00237BC1"/>
    <w:rsid w:val="0024010C"/>
    <w:rsid w:val="0024061C"/>
    <w:rsid w:val="002411E8"/>
    <w:rsid w:val="00241BC8"/>
    <w:rsid w:val="00241D41"/>
    <w:rsid w:val="0024280E"/>
    <w:rsid w:val="00243224"/>
    <w:rsid w:val="002434A7"/>
    <w:rsid w:val="00244291"/>
    <w:rsid w:val="00244882"/>
    <w:rsid w:val="00244CFA"/>
    <w:rsid w:val="00246851"/>
    <w:rsid w:val="002468AE"/>
    <w:rsid w:val="00246D02"/>
    <w:rsid w:val="00246D9D"/>
    <w:rsid w:val="00247828"/>
    <w:rsid w:val="00250D47"/>
    <w:rsid w:val="00251555"/>
    <w:rsid w:val="0025183D"/>
    <w:rsid w:val="00251ACE"/>
    <w:rsid w:val="00251FA9"/>
    <w:rsid w:val="00252017"/>
    <w:rsid w:val="00252036"/>
    <w:rsid w:val="00252A1F"/>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5F31"/>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D78"/>
    <w:rsid w:val="00275E59"/>
    <w:rsid w:val="002764D3"/>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421"/>
    <w:rsid w:val="00283D22"/>
    <w:rsid w:val="0028412B"/>
    <w:rsid w:val="00284EBB"/>
    <w:rsid w:val="002851FB"/>
    <w:rsid w:val="0028527D"/>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13B9"/>
    <w:rsid w:val="00291524"/>
    <w:rsid w:val="002917E3"/>
    <w:rsid w:val="002919AB"/>
    <w:rsid w:val="00291A0A"/>
    <w:rsid w:val="00291BF2"/>
    <w:rsid w:val="00291D71"/>
    <w:rsid w:val="00292313"/>
    <w:rsid w:val="002925AC"/>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724"/>
    <w:rsid w:val="002A69BC"/>
    <w:rsid w:val="002A69C8"/>
    <w:rsid w:val="002A6DDE"/>
    <w:rsid w:val="002A7272"/>
    <w:rsid w:val="002A7556"/>
    <w:rsid w:val="002A78E4"/>
    <w:rsid w:val="002A7E8B"/>
    <w:rsid w:val="002B0F56"/>
    <w:rsid w:val="002B16E0"/>
    <w:rsid w:val="002B1A2F"/>
    <w:rsid w:val="002B1B05"/>
    <w:rsid w:val="002B1D72"/>
    <w:rsid w:val="002B1E91"/>
    <w:rsid w:val="002B22EF"/>
    <w:rsid w:val="002B278A"/>
    <w:rsid w:val="002B3111"/>
    <w:rsid w:val="002B32FC"/>
    <w:rsid w:val="002B3BCE"/>
    <w:rsid w:val="002B3E02"/>
    <w:rsid w:val="002B407B"/>
    <w:rsid w:val="002B417F"/>
    <w:rsid w:val="002B468E"/>
    <w:rsid w:val="002B4DA6"/>
    <w:rsid w:val="002B4F0D"/>
    <w:rsid w:val="002B5024"/>
    <w:rsid w:val="002B525E"/>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B4"/>
    <w:rsid w:val="002D20A7"/>
    <w:rsid w:val="002D20EC"/>
    <w:rsid w:val="002D21E4"/>
    <w:rsid w:val="002D22A0"/>
    <w:rsid w:val="002D276D"/>
    <w:rsid w:val="002D2B57"/>
    <w:rsid w:val="002D2F09"/>
    <w:rsid w:val="002D33D6"/>
    <w:rsid w:val="002D34BC"/>
    <w:rsid w:val="002D35D0"/>
    <w:rsid w:val="002D3A99"/>
    <w:rsid w:val="002D3F35"/>
    <w:rsid w:val="002D4703"/>
    <w:rsid w:val="002D535D"/>
    <w:rsid w:val="002D548B"/>
    <w:rsid w:val="002D58E5"/>
    <w:rsid w:val="002D5A77"/>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4172"/>
    <w:rsid w:val="002E45C6"/>
    <w:rsid w:val="002E5572"/>
    <w:rsid w:val="002E6559"/>
    <w:rsid w:val="002E685A"/>
    <w:rsid w:val="002E6ABC"/>
    <w:rsid w:val="002E75A6"/>
    <w:rsid w:val="002E75F5"/>
    <w:rsid w:val="002F00FF"/>
    <w:rsid w:val="002F03C5"/>
    <w:rsid w:val="002F0CC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2A7"/>
    <w:rsid w:val="002F540A"/>
    <w:rsid w:val="002F5C0F"/>
    <w:rsid w:val="002F6316"/>
    <w:rsid w:val="002F660C"/>
    <w:rsid w:val="002F6A62"/>
    <w:rsid w:val="002F6C84"/>
    <w:rsid w:val="002F6FE1"/>
    <w:rsid w:val="002F7171"/>
    <w:rsid w:val="002F79F4"/>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409"/>
    <w:rsid w:val="00310F45"/>
    <w:rsid w:val="00310F9E"/>
    <w:rsid w:val="00311460"/>
    <w:rsid w:val="00311E4A"/>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9F"/>
    <w:rsid w:val="00314BF3"/>
    <w:rsid w:val="003155D2"/>
    <w:rsid w:val="003155D5"/>
    <w:rsid w:val="0031567F"/>
    <w:rsid w:val="00315A8B"/>
    <w:rsid w:val="0031643E"/>
    <w:rsid w:val="00316E30"/>
    <w:rsid w:val="003174A2"/>
    <w:rsid w:val="00317C18"/>
    <w:rsid w:val="00317DE3"/>
    <w:rsid w:val="00317E09"/>
    <w:rsid w:val="00320048"/>
    <w:rsid w:val="00320566"/>
    <w:rsid w:val="00320993"/>
    <w:rsid w:val="00320996"/>
    <w:rsid w:val="00320DBB"/>
    <w:rsid w:val="00320E9B"/>
    <w:rsid w:val="00321823"/>
    <w:rsid w:val="00321887"/>
    <w:rsid w:val="003218FA"/>
    <w:rsid w:val="00322040"/>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70D"/>
    <w:rsid w:val="00326ED8"/>
    <w:rsid w:val="00326F1D"/>
    <w:rsid w:val="00327D35"/>
    <w:rsid w:val="00330385"/>
    <w:rsid w:val="003308AC"/>
    <w:rsid w:val="00330B40"/>
    <w:rsid w:val="00330B78"/>
    <w:rsid w:val="003311C4"/>
    <w:rsid w:val="0033180A"/>
    <w:rsid w:val="0033185B"/>
    <w:rsid w:val="00331FBE"/>
    <w:rsid w:val="0033253F"/>
    <w:rsid w:val="003327A4"/>
    <w:rsid w:val="003327CE"/>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2DA"/>
    <w:rsid w:val="0034538F"/>
    <w:rsid w:val="00345754"/>
    <w:rsid w:val="003459BC"/>
    <w:rsid w:val="00345A10"/>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090"/>
    <w:rsid w:val="0036059C"/>
    <w:rsid w:val="003607C5"/>
    <w:rsid w:val="00360AD9"/>
    <w:rsid w:val="00360CF1"/>
    <w:rsid w:val="00360DA1"/>
    <w:rsid w:val="00360DAA"/>
    <w:rsid w:val="003611C4"/>
    <w:rsid w:val="003614B0"/>
    <w:rsid w:val="003617B8"/>
    <w:rsid w:val="00361E66"/>
    <w:rsid w:val="00362919"/>
    <w:rsid w:val="00362B31"/>
    <w:rsid w:val="00362C4B"/>
    <w:rsid w:val="00362D1B"/>
    <w:rsid w:val="00362E4A"/>
    <w:rsid w:val="003634EA"/>
    <w:rsid w:val="00363A15"/>
    <w:rsid w:val="00363CDC"/>
    <w:rsid w:val="00363ECF"/>
    <w:rsid w:val="00364293"/>
    <w:rsid w:val="003646FB"/>
    <w:rsid w:val="00364B2A"/>
    <w:rsid w:val="00364C5E"/>
    <w:rsid w:val="00365560"/>
    <w:rsid w:val="00365701"/>
    <w:rsid w:val="0036573A"/>
    <w:rsid w:val="00365E23"/>
    <w:rsid w:val="0036635B"/>
    <w:rsid w:val="0036668C"/>
    <w:rsid w:val="003669A6"/>
    <w:rsid w:val="00366BFF"/>
    <w:rsid w:val="00367382"/>
    <w:rsid w:val="0036747E"/>
    <w:rsid w:val="00367D90"/>
    <w:rsid w:val="003701AC"/>
    <w:rsid w:val="00370645"/>
    <w:rsid w:val="00370B30"/>
    <w:rsid w:val="00370CBF"/>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5F20"/>
    <w:rsid w:val="0037647F"/>
    <w:rsid w:val="00376665"/>
    <w:rsid w:val="00376B6A"/>
    <w:rsid w:val="0037705C"/>
    <w:rsid w:val="0037744F"/>
    <w:rsid w:val="003777E2"/>
    <w:rsid w:val="00377A00"/>
    <w:rsid w:val="00377E05"/>
    <w:rsid w:val="0038054D"/>
    <w:rsid w:val="00381046"/>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029"/>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36DF"/>
    <w:rsid w:val="00393895"/>
    <w:rsid w:val="00393CE6"/>
    <w:rsid w:val="00393EDF"/>
    <w:rsid w:val="00394211"/>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7C3"/>
    <w:rsid w:val="003A21F8"/>
    <w:rsid w:val="003A284B"/>
    <w:rsid w:val="003A2A56"/>
    <w:rsid w:val="003A2D67"/>
    <w:rsid w:val="003A3642"/>
    <w:rsid w:val="003A36CE"/>
    <w:rsid w:val="003A37BD"/>
    <w:rsid w:val="003A444D"/>
    <w:rsid w:val="003A46E9"/>
    <w:rsid w:val="003A472D"/>
    <w:rsid w:val="003A4FFA"/>
    <w:rsid w:val="003A5101"/>
    <w:rsid w:val="003A510B"/>
    <w:rsid w:val="003A550E"/>
    <w:rsid w:val="003A5C62"/>
    <w:rsid w:val="003A5D6F"/>
    <w:rsid w:val="003A5D88"/>
    <w:rsid w:val="003A63DB"/>
    <w:rsid w:val="003A684C"/>
    <w:rsid w:val="003A6A5D"/>
    <w:rsid w:val="003A6EBC"/>
    <w:rsid w:val="003A77A6"/>
    <w:rsid w:val="003A7D3E"/>
    <w:rsid w:val="003B01FF"/>
    <w:rsid w:val="003B08BF"/>
    <w:rsid w:val="003B0B3A"/>
    <w:rsid w:val="003B0DB6"/>
    <w:rsid w:val="003B0E84"/>
    <w:rsid w:val="003B10A8"/>
    <w:rsid w:val="003B1280"/>
    <w:rsid w:val="003B1636"/>
    <w:rsid w:val="003B169F"/>
    <w:rsid w:val="003B197A"/>
    <w:rsid w:val="003B2537"/>
    <w:rsid w:val="003B3072"/>
    <w:rsid w:val="003B41FC"/>
    <w:rsid w:val="003B45C0"/>
    <w:rsid w:val="003B4634"/>
    <w:rsid w:val="003B4DB9"/>
    <w:rsid w:val="003B51ED"/>
    <w:rsid w:val="003B539B"/>
    <w:rsid w:val="003B5958"/>
    <w:rsid w:val="003B61EE"/>
    <w:rsid w:val="003B6FEC"/>
    <w:rsid w:val="003B70FD"/>
    <w:rsid w:val="003B769E"/>
    <w:rsid w:val="003B7C0A"/>
    <w:rsid w:val="003C0190"/>
    <w:rsid w:val="003C021F"/>
    <w:rsid w:val="003C048B"/>
    <w:rsid w:val="003C0C33"/>
    <w:rsid w:val="003C0E9A"/>
    <w:rsid w:val="003C0FB8"/>
    <w:rsid w:val="003C105F"/>
    <w:rsid w:val="003C1AD0"/>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85"/>
    <w:rsid w:val="003D068D"/>
    <w:rsid w:val="003D0AB5"/>
    <w:rsid w:val="003D0BAF"/>
    <w:rsid w:val="003D0C96"/>
    <w:rsid w:val="003D0D3C"/>
    <w:rsid w:val="003D1163"/>
    <w:rsid w:val="003D188F"/>
    <w:rsid w:val="003D1C3F"/>
    <w:rsid w:val="003D1E1C"/>
    <w:rsid w:val="003D1FF9"/>
    <w:rsid w:val="003D2A68"/>
    <w:rsid w:val="003D2DC7"/>
    <w:rsid w:val="003D3EC6"/>
    <w:rsid w:val="003D43F0"/>
    <w:rsid w:val="003D583D"/>
    <w:rsid w:val="003D58FC"/>
    <w:rsid w:val="003D5A9B"/>
    <w:rsid w:val="003D5AB0"/>
    <w:rsid w:val="003D5E6C"/>
    <w:rsid w:val="003D5F07"/>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6423"/>
    <w:rsid w:val="003E6513"/>
    <w:rsid w:val="003E710B"/>
    <w:rsid w:val="003E7A91"/>
    <w:rsid w:val="003E7B17"/>
    <w:rsid w:val="003F1281"/>
    <w:rsid w:val="003F12CE"/>
    <w:rsid w:val="003F1776"/>
    <w:rsid w:val="003F1843"/>
    <w:rsid w:val="003F1B52"/>
    <w:rsid w:val="003F20A4"/>
    <w:rsid w:val="003F20DE"/>
    <w:rsid w:val="003F23B4"/>
    <w:rsid w:val="003F2764"/>
    <w:rsid w:val="003F3325"/>
    <w:rsid w:val="003F340D"/>
    <w:rsid w:val="003F3FAB"/>
    <w:rsid w:val="003F40D1"/>
    <w:rsid w:val="003F4F84"/>
    <w:rsid w:val="003F516E"/>
    <w:rsid w:val="003F5716"/>
    <w:rsid w:val="003F60C2"/>
    <w:rsid w:val="003F698E"/>
    <w:rsid w:val="003F6A94"/>
    <w:rsid w:val="003F704B"/>
    <w:rsid w:val="003F74D8"/>
    <w:rsid w:val="003F76F6"/>
    <w:rsid w:val="003F7758"/>
    <w:rsid w:val="003F7B4F"/>
    <w:rsid w:val="004003C6"/>
    <w:rsid w:val="004008A0"/>
    <w:rsid w:val="00400E28"/>
    <w:rsid w:val="00401287"/>
    <w:rsid w:val="0040218F"/>
    <w:rsid w:val="00402274"/>
    <w:rsid w:val="00402AD4"/>
    <w:rsid w:val="00403D3C"/>
    <w:rsid w:val="00403F36"/>
    <w:rsid w:val="004040FE"/>
    <w:rsid w:val="00404785"/>
    <w:rsid w:val="00404F2A"/>
    <w:rsid w:val="0040554F"/>
    <w:rsid w:val="00405803"/>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4424"/>
    <w:rsid w:val="00414636"/>
    <w:rsid w:val="004148AC"/>
    <w:rsid w:val="00414936"/>
    <w:rsid w:val="00414D29"/>
    <w:rsid w:val="0041530D"/>
    <w:rsid w:val="00415552"/>
    <w:rsid w:val="00415807"/>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B1B"/>
    <w:rsid w:val="00423BCC"/>
    <w:rsid w:val="00423C21"/>
    <w:rsid w:val="00423D4D"/>
    <w:rsid w:val="004242E0"/>
    <w:rsid w:val="0042443E"/>
    <w:rsid w:val="0042466E"/>
    <w:rsid w:val="0042500C"/>
    <w:rsid w:val="004256F0"/>
    <w:rsid w:val="004257F8"/>
    <w:rsid w:val="00425B7D"/>
    <w:rsid w:val="00425D6B"/>
    <w:rsid w:val="0042695B"/>
    <w:rsid w:val="004273AC"/>
    <w:rsid w:val="004276C1"/>
    <w:rsid w:val="00427CC2"/>
    <w:rsid w:val="00430244"/>
    <w:rsid w:val="00430804"/>
    <w:rsid w:val="00432EBC"/>
    <w:rsid w:val="00434DF3"/>
    <w:rsid w:val="00434FF6"/>
    <w:rsid w:val="00435BDC"/>
    <w:rsid w:val="00436A99"/>
    <w:rsid w:val="00436FF7"/>
    <w:rsid w:val="0043720F"/>
    <w:rsid w:val="00437592"/>
    <w:rsid w:val="00437B42"/>
    <w:rsid w:val="00437C27"/>
    <w:rsid w:val="00437C9C"/>
    <w:rsid w:val="0044008A"/>
    <w:rsid w:val="0044058B"/>
    <w:rsid w:val="0044102C"/>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D39"/>
    <w:rsid w:val="00446FAD"/>
    <w:rsid w:val="00447064"/>
    <w:rsid w:val="0044726D"/>
    <w:rsid w:val="004476C3"/>
    <w:rsid w:val="004501AC"/>
    <w:rsid w:val="00450428"/>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A2B"/>
    <w:rsid w:val="00455C8B"/>
    <w:rsid w:val="00455F59"/>
    <w:rsid w:val="00456124"/>
    <w:rsid w:val="00456237"/>
    <w:rsid w:val="0045644C"/>
    <w:rsid w:val="004568C0"/>
    <w:rsid w:val="00456A16"/>
    <w:rsid w:val="00456A88"/>
    <w:rsid w:val="00456A9F"/>
    <w:rsid w:val="00456CA0"/>
    <w:rsid w:val="00456E1F"/>
    <w:rsid w:val="004572B1"/>
    <w:rsid w:val="004577C7"/>
    <w:rsid w:val="00460850"/>
    <w:rsid w:val="00460B03"/>
    <w:rsid w:val="00460B37"/>
    <w:rsid w:val="00461694"/>
    <w:rsid w:val="0046177A"/>
    <w:rsid w:val="0046197F"/>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B5D"/>
    <w:rsid w:val="00467D56"/>
    <w:rsid w:val="00470144"/>
    <w:rsid w:val="00470802"/>
    <w:rsid w:val="00470B8F"/>
    <w:rsid w:val="00471044"/>
    <w:rsid w:val="0047110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6C9A"/>
    <w:rsid w:val="004772AB"/>
    <w:rsid w:val="0047739F"/>
    <w:rsid w:val="00477E57"/>
    <w:rsid w:val="00480867"/>
    <w:rsid w:val="00481794"/>
    <w:rsid w:val="00481BA3"/>
    <w:rsid w:val="004822A7"/>
    <w:rsid w:val="0048239B"/>
    <w:rsid w:val="00482834"/>
    <w:rsid w:val="00482C31"/>
    <w:rsid w:val="004831A3"/>
    <w:rsid w:val="0048374D"/>
    <w:rsid w:val="00483758"/>
    <w:rsid w:val="004838CA"/>
    <w:rsid w:val="0048432C"/>
    <w:rsid w:val="004843F9"/>
    <w:rsid w:val="004848A1"/>
    <w:rsid w:val="00484FD5"/>
    <w:rsid w:val="00485F83"/>
    <w:rsid w:val="004860B6"/>
    <w:rsid w:val="00486140"/>
    <w:rsid w:val="0048770D"/>
    <w:rsid w:val="004877B8"/>
    <w:rsid w:val="00487B7D"/>
    <w:rsid w:val="00487C22"/>
    <w:rsid w:val="00487D34"/>
    <w:rsid w:val="004900D9"/>
    <w:rsid w:val="00490118"/>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3AB"/>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37A5"/>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552"/>
    <w:rsid w:val="004B059F"/>
    <w:rsid w:val="004B0E6E"/>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7280"/>
    <w:rsid w:val="004B7AC0"/>
    <w:rsid w:val="004B7BA2"/>
    <w:rsid w:val="004B7CC1"/>
    <w:rsid w:val="004C04D9"/>
    <w:rsid w:val="004C05AD"/>
    <w:rsid w:val="004C0850"/>
    <w:rsid w:val="004C0857"/>
    <w:rsid w:val="004C147B"/>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614"/>
    <w:rsid w:val="004D13B9"/>
    <w:rsid w:val="004D16F6"/>
    <w:rsid w:val="004D19AD"/>
    <w:rsid w:val="004D1BE3"/>
    <w:rsid w:val="004D1F83"/>
    <w:rsid w:val="004D2158"/>
    <w:rsid w:val="004D21A7"/>
    <w:rsid w:val="004D255A"/>
    <w:rsid w:val="004D261C"/>
    <w:rsid w:val="004D2696"/>
    <w:rsid w:val="004D26DB"/>
    <w:rsid w:val="004D2DC4"/>
    <w:rsid w:val="004D3381"/>
    <w:rsid w:val="004D3610"/>
    <w:rsid w:val="004D390D"/>
    <w:rsid w:val="004D40C2"/>
    <w:rsid w:val="004D4540"/>
    <w:rsid w:val="004D4BBC"/>
    <w:rsid w:val="004D52DC"/>
    <w:rsid w:val="004D59C6"/>
    <w:rsid w:val="004D5AE9"/>
    <w:rsid w:val="004D5C91"/>
    <w:rsid w:val="004D5F68"/>
    <w:rsid w:val="004D6533"/>
    <w:rsid w:val="004D67E4"/>
    <w:rsid w:val="004D6B48"/>
    <w:rsid w:val="004D6C5B"/>
    <w:rsid w:val="004D723D"/>
    <w:rsid w:val="004D755E"/>
    <w:rsid w:val="004D7871"/>
    <w:rsid w:val="004D7ABB"/>
    <w:rsid w:val="004E000C"/>
    <w:rsid w:val="004E0699"/>
    <w:rsid w:val="004E1821"/>
    <w:rsid w:val="004E2195"/>
    <w:rsid w:val="004E2446"/>
    <w:rsid w:val="004E2B62"/>
    <w:rsid w:val="004E2D6C"/>
    <w:rsid w:val="004E2D89"/>
    <w:rsid w:val="004E2E92"/>
    <w:rsid w:val="004E30D1"/>
    <w:rsid w:val="004E32D8"/>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220"/>
    <w:rsid w:val="0050170E"/>
    <w:rsid w:val="00501A4C"/>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D3E"/>
    <w:rsid w:val="00507DFB"/>
    <w:rsid w:val="00511241"/>
    <w:rsid w:val="00512072"/>
    <w:rsid w:val="0051228E"/>
    <w:rsid w:val="005129E1"/>
    <w:rsid w:val="00512D4C"/>
    <w:rsid w:val="005130FA"/>
    <w:rsid w:val="00513872"/>
    <w:rsid w:val="005142BD"/>
    <w:rsid w:val="00514D63"/>
    <w:rsid w:val="005153DF"/>
    <w:rsid w:val="00515452"/>
    <w:rsid w:val="0051589A"/>
    <w:rsid w:val="00515E02"/>
    <w:rsid w:val="00515E0D"/>
    <w:rsid w:val="0051617A"/>
    <w:rsid w:val="00516AC0"/>
    <w:rsid w:val="00517010"/>
    <w:rsid w:val="0051720A"/>
    <w:rsid w:val="00517CDF"/>
    <w:rsid w:val="00517E80"/>
    <w:rsid w:val="005202C6"/>
    <w:rsid w:val="0052094C"/>
    <w:rsid w:val="00520B77"/>
    <w:rsid w:val="00520E13"/>
    <w:rsid w:val="00521302"/>
    <w:rsid w:val="005213BD"/>
    <w:rsid w:val="005215E0"/>
    <w:rsid w:val="0052254F"/>
    <w:rsid w:val="005225C4"/>
    <w:rsid w:val="005230E3"/>
    <w:rsid w:val="00523956"/>
    <w:rsid w:val="0052419D"/>
    <w:rsid w:val="00524627"/>
    <w:rsid w:val="00524C31"/>
    <w:rsid w:val="00524C4E"/>
    <w:rsid w:val="00524C5F"/>
    <w:rsid w:val="00524E8A"/>
    <w:rsid w:val="00525A58"/>
    <w:rsid w:val="00525ABA"/>
    <w:rsid w:val="0052795F"/>
    <w:rsid w:val="00527DBD"/>
    <w:rsid w:val="00527E0E"/>
    <w:rsid w:val="00527F62"/>
    <w:rsid w:val="0053033B"/>
    <w:rsid w:val="005303FF"/>
    <w:rsid w:val="005310AB"/>
    <w:rsid w:val="00531481"/>
    <w:rsid w:val="00531898"/>
    <w:rsid w:val="00531C1D"/>
    <w:rsid w:val="0053208E"/>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569"/>
    <w:rsid w:val="00544655"/>
    <w:rsid w:val="00544A5D"/>
    <w:rsid w:val="00544BC9"/>
    <w:rsid w:val="005455C1"/>
    <w:rsid w:val="005457F0"/>
    <w:rsid w:val="0054585F"/>
    <w:rsid w:val="0054615F"/>
    <w:rsid w:val="00546427"/>
    <w:rsid w:val="0054674E"/>
    <w:rsid w:val="00546851"/>
    <w:rsid w:val="0054750A"/>
    <w:rsid w:val="00547893"/>
    <w:rsid w:val="00547A70"/>
    <w:rsid w:val="00547A8E"/>
    <w:rsid w:val="00547B35"/>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619C"/>
    <w:rsid w:val="005562D5"/>
    <w:rsid w:val="00557CAA"/>
    <w:rsid w:val="00557D8D"/>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734E"/>
    <w:rsid w:val="005778ED"/>
    <w:rsid w:val="005809B6"/>
    <w:rsid w:val="005810DD"/>
    <w:rsid w:val="00581B40"/>
    <w:rsid w:val="00581E9D"/>
    <w:rsid w:val="0058205F"/>
    <w:rsid w:val="005820A2"/>
    <w:rsid w:val="0058226A"/>
    <w:rsid w:val="00582418"/>
    <w:rsid w:val="00582C47"/>
    <w:rsid w:val="00583050"/>
    <w:rsid w:val="0058316E"/>
    <w:rsid w:val="005834C8"/>
    <w:rsid w:val="00583522"/>
    <w:rsid w:val="0058454D"/>
    <w:rsid w:val="00584742"/>
    <w:rsid w:val="005849D9"/>
    <w:rsid w:val="00584AEF"/>
    <w:rsid w:val="00584BC4"/>
    <w:rsid w:val="0058598C"/>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5C6"/>
    <w:rsid w:val="005947B3"/>
    <w:rsid w:val="00595004"/>
    <w:rsid w:val="00595A3A"/>
    <w:rsid w:val="00595C0F"/>
    <w:rsid w:val="00595E52"/>
    <w:rsid w:val="00596021"/>
    <w:rsid w:val="005960CB"/>
    <w:rsid w:val="005962BE"/>
    <w:rsid w:val="00596609"/>
    <w:rsid w:val="00596EC8"/>
    <w:rsid w:val="00597973"/>
    <w:rsid w:val="005A143F"/>
    <w:rsid w:val="005A22E4"/>
    <w:rsid w:val="005A27A5"/>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68E1"/>
    <w:rsid w:val="005A75B1"/>
    <w:rsid w:val="005A7E78"/>
    <w:rsid w:val="005B10CB"/>
    <w:rsid w:val="005B121D"/>
    <w:rsid w:val="005B150C"/>
    <w:rsid w:val="005B16DF"/>
    <w:rsid w:val="005B2635"/>
    <w:rsid w:val="005B2CF0"/>
    <w:rsid w:val="005B2E57"/>
    <w:rsid w:val="005B338D"/>
    <w:rsid w:val="005B3925"/>
    <w:rsid w:val="005B39DF"/>
    <w:rsid w:val="005B3A75"/>
    <w:rsid w:val="005B3F08"/>
    <w:rsid w:val="005B40D8"/>
    <w:rsid w:val="005B486F"/>
    <w:rsid w:val="005B49F6"/>
    <w:rsid w:val="005B5078"/>
    <w:rsid w:val="005B5389"/>
    <w:rsid w:val="005B567D"/>
    <w:rsid w:val="005B5D50"/>
    <w:rsid w:val="005B5FDA"/>
    <w:rsid w:val="005B6DE4"/>
    <w:rsid w:val="005B6E88"/>
    <w:rsid w:val="005B7363"/>
    <w:rsid w:val="005B76CF"/>
    <w:rsid w:val="005B7BBB"/>
    <w:rsid w:val="005B7F43"/>
    <w:rsid w:val="005C07E6"/>
    <w:rsid w:val="005C0E12"/>
    <w:rsid w:val="005C1159"/>
    <w:rsid w:val="005C254C"/>
    <w:rsid w:val="005C25AC"/>
    <w:rsid w:val="005C2B04"/>
    <w:rsid w:val="005C3076"/>
    <w:rsid w:val="005C3215"/>
    <w:rsid w:val="005C3478"/>
    <w:rsid w:val="005C36ED"/>
    <w:rsid w:val="005C38AA"/>
    <w:rsid w:val="005C3A65"/>
    <w:rsid w:val="005C4406"/>
    <w:rsid w:val="005C44B9"/>
    <w:rsid w:val="005C46FB"/>
    <w:rsid w:val="005C4AAD"/>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2150"/>
    <w:rsid w:val="005E262D"/>
    <w:rsid w:val="005E28B6"/>
    <w:rsid w:val="005E2F8E"/>
    <w:rsid w:val="005E35B3"/>
    <w:rsid w:val="005E3BA1"/>
    <w:rsid w:val="005E3C66"/>
    <w:rsid w:val="005E48AA"/>
    <w:rsid w:val="005E4BDC"/>
    <w:rsid w:val="005E51EC"/>
    <w:rsid w:val="005E536F"/>
    <w:rsid w:val="005E5652"/>
    <w:rsid w:val="005E588A"/>
    <w:rsid w:val="005E5C7E"/>
    <w:rsid w:val="005E6B99"/>
    <w:rsid w:val="005E6E01"/>
    <w:rsid w:val="005E7452"/>
    <w:rsid w:val="005E764B"/>
    <w:rsid w:val="005F01FB"/>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24B"/>
    <w:rsid w:val="005F52E4"/>
    <w:rsid w:val="005F536D"/>
    <w:rsid w:val="005F57E1"/>
    <w:rsid w:val="005F5AFE"/>
    <w:rsid w:val="005F5E57"/>
    <w:rsid w:val="005F5EDF"/>
    <w:rsid w:val="005F6183"/>
    <w:rsid w:val="005F62B6"/>
    <w:rsid w:val="005F6842"/>
    <w:rsid w:val="005F7039"/>
    <w:rsid w:val="005F783A"/>
    <w:rsid w:val="005F7ED3"/>
    <w:rsid w:val="005F7F36"/>
    <w:rsid w:val="00600371"/>
    <w:rsid w:val="00600462"/>
    <w:rsid w:val="006005CA"/>
    <w:rsid w:val="0060090C"/>
    <w:rsid w:val="00600E75"/>
    <w:rsid w:val="00600F2E"/>
    <w:rsid w:val="006011CA"/>
    <w:rsid w:val="006017BC"/>
    <w:rsid w:val="006017FE"/>
    <w:rsid w:val="00601A8A"/>
    <w:rsid w:val="00601B5D"/>
    <w:rsid w:val="00601CEB"/>
    <w:rsid w:val="006029E9"/>
    <w:rsid w:val="00602AF4"/>
    <w:rsid w:val="00603633"/>
    <w:rsid w:val="00603696"/>
    <w:rsid w:val="0060373A"/>
    <w:rsid w:val="00603A0F"/>
    <w:rsid w:val="00603C76"/>
    <w:rsid w:val="00603DCC"/>
    <w:rsid w:val="00603E5F"/>
    <w:rsid w:val="006046D0"/>
    <w:rsid w:val="00604FFD"/>
    <w:rsid w:val="006055D6"/>
    <w:rsid w:val="00605C47"/>
    <w:rsid w:val="00605CBD"/>
    <w:rsid w:val="006061F9"/>
    <w:rsid w:val="006069D1"/>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EC3"/>
    <w:rsid w:val="00625F92"/>
    <w:rsid w:val="00626E22"/>
    <w:rsid w:val="00626E78"/>
    <w:rsid w:val="006277F0"/>
    <w:rsid w:val="00627E1A"/>
    <w:rsid w:val="00630263"/>
    <w:rsid w:val="0063079A"/>
    <w:rsid w:val="006313F5"/>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5ACB"/>
    <w:rsid w:val="00636106"/>
    <w:rsid w:val="00636E8C"/>
    <w:rsid w:val="006374D2"/>
    <w:rsid w:val="00637509"/>
    <w:rsid w:val="006377DF"/>
    <w:rsid w:val="006401DE"/>
    <w:rsid w:val="00640336"/>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F62"/>
    <w:rsid w:val="00643006"/>
    <w:rsid w:val="00643A18"/>
    <w:rsid w:val="00643BE2"/>
    <w:rsid w:val="00643D49"/>
    <w:rsid w:val="00644868"/>
    <w:rsid w:val="00644A3B"/>
    <w:rsid w:val="00644C14"/>
    <w:rsid w:val="00644C9F"/>
    <w:rsid w:val="00645472"/>
    <w:rsid w:val="006459E2"/>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2D0"/>
    <w:rsid w:val="006563F3"/>
    <w:rsid w:val="006566AA"/>
    <w:rsid w:val="0065671C"/>
    <w:rsid w:val="00656F28"/>
    <w:rsid w:val="006573BE"/>
    <w:rsid w:val="0066038B"/>
    <w:rsid w:val="00660BFA"/>
    <w:rsid w:val="00661066"/>
    <w:rsid w:val="00661608"/>
    <w:rsid w:val="00661F56"/>
    <w:rsid w:val="00662949"/>
    <w:rsid w:val="0066355E"/>
    <w:rsid w:val="00663580"/>
    <w:rsid w:val="00663607"/>
    <w:rsid w:val="00663DFF"/>
    <w:rsid w:val="00663E55"/>
    <w:rsid w:val="00663E99"/>
    <w:rsid w:val="00664277"/>
    <w:rsid w:val="006644BB"/>
    <w:rsid w:val="0066452B"/>
    <w:rsid w:val="00664AA1"/>
    <w:rsid w:val="00664FE6"/>
    <w:rsid w:val="006650B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E3C"/>
    <w:rsid w:val="00680F26"/>
    <w:rsid w:val="006819B7"/>
    <w:rsid w:val="006820D2"/>
    <w:rsid w:val="00682544"/>
    <w:rsid w:val="006825B6"/>
    <w:rsid w:val="00682846"/>
    <w:rsid w:val="006834D6"/>
    <w:rsid w:val="0068360F"/>
    <w:rsid w:val="006843CF"/>
    <w:rsid w:val="00684486"/>
    <w:rsid w:val="00684686"/>
    <w:rsid w:val="006854AB"/>
    <w:rsid w:val="00685D68"/>
    <w:rsid w:val="00686C3D"/>
    <w:rsid w:val="006871EE"/>
    <w:rsid w:val="0068782D"/>
    <w:rsid w:val="00687A7F"/>
    <w:rsid w:val="00687AE3"/>
    <w:rsid w:val="00687CC2"/>
    <w:rsid w:val="00687E95"/>
    <w:rsid w:val="00690729"/>
    <w:rsid w:val="00690CB1"/>
    <w:rsid w:val="006910DB"/>
    <w:rsid w:val="0069138B"/>
    <w:rsid w:val="006913A8"/>
    <w:rsid w:val="006914A3"/>
    <w:rsid w:val="00691E79"/>
    <w:rsid w:val="006926EB"/>
    <w:rsid w:val="00692D73"/>
    <w:rsid w:val="00693853"/>
    <w:rsid w:val="00693ABF"/>
    <w:rsid w:val="00693B86"/>
    <w:rsid w:val="00694E22"/>
    <w:rsid w:val="00695271"/>
    <w:rsid w:val="006959B5"/>
    <w:rsid w:val="00696061"/>
    <w:rsid w:val="0069699C"/>
    <w:rsid w:val="006969DB"/>
    <w:rsid w:val="00696A4A"/>
    <w:rsid w:val="00697554"/>
    <w:rsid w:val="006979E0"/>
    <w:rsid w:val="00697A80"/>
    <w:rsid w:val="00697CCF"/>
    <w:rsid w:val="00697DE5"/>
    <w:rsid w:val="00697F14"/>
    <w:rsid w:val="00697FA5"/>
    <w:rsid w:val="006A092C"/>
    <w:rsid w:val="006A1646"/>
    <w:rsid w:val="006A175A"/>
    <w:rsid w:val="006A24A8"/>
    <w:rsid w:val="006A29AB"/>
    <w:rsid w:val="006A3412"/>
    <w:rsid w:val="006A40A6"/>
    <w:rsid w:val="006A423A"/>
    <w:rsid w:val="006A464C"/>
    <w:rsid w:val="006A4916"/>
    <w:rsid w:val="006A4B26"/>
    <w:rsid w:val="006A4C58"/>
    <w:rsid w:val="006A4CD3"/>
    <w:rsid w:val="006A5414"/>
    <w:rsid w:val="006A55A3"/>
    <w:rsid w:val="006A5DBD"/>
    <w:rsid w:val="006A5EBB"/>
    <w:rsid w:val="006A6273"/>
    <w:rsid w:val="006A6605"/>
    <w:rsid w:val="006A66BD"/>
    <w:rsid w:val="006A6962"/>
    <w:rsid w:val="006A6D1E"/>
    <w:rsid w:val="006A7648"/>
    <w:rsid w:val="006A76A7"/>
    <w:rsid w:val="006A7800"/>
    <w:rsid w:val="006A789B"/>
    <w:rsid w:val="006A78D9"/>
    <w:rsid w:val="006B00D5"/>
    <w:rsid w:val="006B0358"/>
    <w:rsid w:val="006B0CEF"/>
    <w:rsid w:val="006B0F30"/>
    <w:rsid w:val="006B11FA"/>
    <w:rsid w:val="006B1392"/>
    <w:rsid w:val="006B1855"/>
    <w:rsid w:val="006B231E"/>
    <w:rsid w:val="006B2877"/>
    <w:rsid w:val="006B2893"/>
    <w:rsid w:val="006B38FD"/>
    <w:rsid w:val="006B3CDF"/>
    <w:rsid w:val="006B3E5B"/>
    <w:rsid w:val="006B456F"/>
    <w:rsid w:val="006B49F1"/>
    <w:rsid w:val="006B5413"/>
    <w:rsid w:val="006B5769"/>
    <w:rsid w:val="006B5F44"/>
    <w:rsid w:val="006B619C"/>
    <w:rsid w:val="006B61A4"/>
    <w:rsid w:val="006B6C73"/>
    <w:rsid w:val="006B7331"/>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B9E"/>
    <w:rsid w:val="006C4C17"/>
    <w:rsid w:val="006C5571"/>
    <w:rsid w:val="006C5904"/>
    <w:rsid w:val="006C5CC4"/>
    <w:rsid w:val="006C6454"/>
    <w:rsid w:val="006C6904"/>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78"/>
    <w:rsid w:val="006E2992"/>
    <w:rsid w:val="006E2CC6"/>
    <w:rsid w:val="006E2F1D"/>
    <w:rsid w:val="006E2F6C"/>
    <w:rsid w:val="006E301B"/>
    <w:rsid w:val="006E3113"/>
    <w:rsid w:val="006E38BA"/>
    <w:rsid w:val="006E38C9"/>
    <w:rsid w:val="006E3A3B"/>
    <w:rsid w:val="006E3BBF"/>
    <w:rsid w:val="006E3FC3"/>
    <w:rsid w:val="006E4116"/>
    <w:rsid w:val="006E47E7"/>
    <w:rsid w:val="006E4980"/>
    <w:rsid w:val="006E4EC9"/>
    <w:rsid w:val="006E50B3"/>
    <w:rsid w:val="006E55DF"/>
    <w:rsid w:val="006E5CE9"/>
    <w:rsid w:val="006E5DF8"/>
    <w:rsid w:val="006E5E74"/>
    <w:rsid w:val="006E6BCB"/>
    <w:rsid w:val="006E6CDD"/>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5356"/>
    <w:rsid w:val="006F577D"/>
    <w:rsid w:val="006F585E"/>
    <w:rsid w:val="006F7B86"/>
    <w:rsid w:val="006F7CD7"/>
    <w:rsid w:val="0070074B"/>
    <w:rsid w:val="0070088A"/>
    <w:rsid w:val="00700D8E"/>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06799"/>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61D5"/>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27581"/>
    <w:rsid w:val="007276FE"/>
    <w:rsid w:val="0073012E"/>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28"/>
    <w:rsid w:val="00747F8A"/>
    <w:rsid w:val="00747FB9"/>
    <w:rsid w:val="007507AB"/>
    <w:rsid w:val="00750DBD"/>
    <w:rsid w:val="00751024"/>
    <w:rsid w:val="00751218"/>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E63"/>
    <w:rsid w:val="0076072A"/>
    <w:rsid w:val="007608C3"/>
    <w:rsid w:val="00761B1E"/>
    <w:rsid w:val="007623EB"/>
    <w:rsid w:val="0076258B"/>
    <w:rsid w:val="00762CE9"/>
    <w:rsid w:val="00762F17"/>
    <w:rsid w:val="00763A71"/>
    <w:rsid w:val="007656A8"/>
    <w:rsid w:val="00765759"/>
    <w:rsid w:val="00765F75"/>
    <w:rsid w:val="00766095"/>
    <w:rsid w:val="007662B2"/>
    <w:rsid w:val="007667A1"/>
    <w:rsid w:val="007669E0"/>
    <w:rsid w:val="00766DB0"/>
    <w:rsid w:val="00767CEB"/>
    <w:rsid w:val="00767E82"/>
    <w:rsid w:val="007709DA"/>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DE0"/>
    <w:rsid w:val="00776EE9"/>
    <w:rsid w:val="007778C5"/>
    <w:rsid w:val="007800A3"/>
    <w:rsid w:val="007800A6"/>
    <w:rsid w:val="007804F8"/>
    <w:rsid w:val="0078103E"/>
    <w:rsid w:val="007811CE"/>
    <w:rsid w:val="00781BDB"/>
    <w:rsid w:val="00781C30"/>
    <w:rsid w:val="007830EB"/>
    <w:rsid w:val="007835AF"/>
    <w:rsid w:val="007836FD"/>
    <w:rsid w:val="007837C5"/>
    <w:rsid w:val="0078384C"/>
    <w:rsid w:val="00783D36"/>
    <w:rsid w:val="007846A1"/>
    <w:rsid w:val="007849FE"/>
    <w:rsid w:val="007850CC"/>
    <w:rsid w:val="0078594D"/>
    <w:rsid w:val="00785B98"/>
    <w:rsid w:val="0078602F"/>
    <w:rsid w:val="007863E4"/>
    <w:rsid w:val="007867C4"/>
    <w:rsid w:val="00786CF1"/>
    <w:rsid w:val="00786FC1"/>
    <w:rsid w:val="0078797B"/>
    <w:rsid w:val="007905AE"/>
    <w:rsid w:val="007907AE"/>
    <w:rsid w:val="00790966"/>
    <w:rsid w:val="007909A2"/>
    <w:rsid w:val="00790D60"/>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6563"/>
    <w:rsid w:val="0079658D"/>
    <w:rsid w:val="007969A7"/>
    <w:rsid w:val="00796AA4"/>
    <w:rsid w:val="00796DBE"/>
    <w:rsid w:val="00797135"/>
    <w:rsid w:val="00797F24"/>
    <w:rsid w:val="007A01DE"/>
    <w:rsid w:val="007A0A3B"/>
    <w:rsid w:val="007A13F1"/>
    <w:rsid w:val="007A143E"/>
    <w:rsid w:val="007A1619"/>
    <w:rsid w:val="007A1D8A"/>
    <w:rsid w:val="007A2778"/>
    <w:rsid w:val="007A2A31"/>
    <w:rsid w:val="007A2E9B"/>
    <w:rsid w:val="007A3E3E"/>
    <w:rsid w:val="007A45EF"/>
    <w:rsid w:val="007A4896"/>
    <w:rsid w:val="007A5CA4"/>
    <w:rsid w:val="007A5E38"/>
    <w:rsid w:val="007A6005"/>
    <w:rsid w:val="007A6050"/>
    <w:rsid w:val="007A618F"/>
    <w:rsid w:val="007A63BE"/>
    <w:rsid w:val="007A688C"/>
    <w:rsid w:val="007A715D"/>
    <w:rsid w:val="007A721A"/>
    <w:rsid w:val="007A7446"/>
    <w:rsid w:val="007A7525"/>
    <w:rsid w:val="007A7E9B"/>
    <w:rsid w:val="007B03F4"/>
    <w:rsid w:val="007B0869"/>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D66"/>
    <w:rsid w:val="007B6F05"/>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5FC3"/>
    <w:rsid w:val="007C634C"/>
    <w:rsid w:val="007C651F"/>
    <w:rsid w:val="007C6543"/>
    <w:rsid w:val="007C73EA"/>
    <w:rsid w:val="007C794C"/>
    <w:rsid w:val="007C7FCC"/>
    <w:rsid w:val="007D09E0"/>
    <w:rsid w:val="007D12C0"/>
    <w:rsid w:val="007D1917"/>
    <w:rsid w:val="007D1EAC"/>
    <w:rsid w:val="007D29E3"/>
    <w:rsid w:val="007D29F7"/>
    <w:rsid w:val="007D2ACF"/>
    <w:rsid w:val="007D34E0"/>
    <w:rsid w:val="007D3A2E"/>
    <w:rsid w:val="007D3AAB"/>
    <w:rsid w:val="007D40B5"/>
    <w:rsid w:val="007D4641"/>
    <w:rsid w:val="007D57CD"/>
    <w:rsid w:val="007D5844"/>
    <w:rsid w:val="007D63C8"/>
    <w:rsid w:val="007D65A0"/>
    <w:rsid w:val="007D6ABC"/>
    <w:rsid w:val="007D6AEE"/>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1AE"/>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439"/>
    <w:rsid w:val="007F04ED"/>
    <w:rsid w:val="007F0B5C"/>
    <w:rsid w:val="007F1042"/>
    <w:rsid w:val="007F11E4"/>
    <w:rsid w:val="007F14F6"/>
    <w:rsid w:val="007F27A9"/>
    <w:rsid w:val="007F2EAE"/>
    <w:rsid w:val="007F3353"/>
    <w:rsid w:val="007F3412"/>
    <w:rsid w:val="007F3847"/>
    <w:rsid w:val="007F3DD7"/>
    <w:rsid w:val="007F3E20"/>
    <w:rsid w:val="007F4991"/>
    <w:rsid w:val="007F49FB"/>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62E"/>
    <w:rsid w:val="00810ACB"/>
    <w:rsid w:val="00811310"/>
    <w:rsid w:val="00811C9D"/>
    <w:rsid w:val="00811D74"/>
    <w:rsid w:val="00812022"/>
    <w:rsid w:val="0081209B"/>
    <w:rsid w:val="008121E3"/>
    <w:rsid w:val="00812D9E"/>
    <w:rsid w:val="00812E80"/>
    <w:rsid w:val="00812E9C"/>
    <w:rsid w:val="00813713"/>
    <w:rsid w:val="0081372B"/>
    <w:rsid w:val="008137A8"/>
    <w:rsid w:val="00814E53"/>
    <w:rsid w:val="00815058"/>
    <w:rsid w:val="00815271"/>
    <w:rsid w:val="008152E0"/>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FD4"/>
    <w:rsid w:val="00826D9D"/>
    <w:rsid w:val="00827083"/>
    <w:rsid w:val="00827136"/>
    <w:rsid w:val="008275D5"/>
    <w:rsid w:val="00827A84"/>
    <w:rsid w:val="00827EFB"/>
    <w:rsid w:val="008302B3"/>
    <w:rsid w:val="008303C3"/>
    <w:rsid w:val="008304F7"/>
    <w:rsid w:val="00830D84"/>
    <w:rsid w:val="008314E2"/>
    <w:rsid w:val="00831681"/>
    <w:rsid w:val="00831BC2"/>
    <w:rsid w:val="00832C15"/>
    <w:rsid w:val="00832C19"/>
    <w:rsid w:val="00832D9B"/>
    <w:rsid w:val="00833020"/>
    <w:rsid w:val="0083328B"/>
    <w:rsid w:val="00833425"/>
    <w:rsid w:val="00833957"/>
    <w:rsid w:val="00833AC6"/>
    <w:rsid w:val="00834200"/>
    <w:rsid w:val="008347EA"/>
    <w:rsid w:val="00834EA9"/>
    <w:rsid w:val="0083583A"/>
    <w:rsid w:val="008358CF"/>
    <w:rsid w:val="00835903"/>
    <w:rsid w:val="00835BD3"/>
    <w:rsid w:val="0083619E"/>
    <w:rsid w:val="00836799"/>
    <w:rsid w:val="00836EFA"/>
    <w:rsid w:val="0083752B"/>
    <w:rsid w:val="008376EB"/>
    <w:rsid w:val="008401EE"/>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9D"/>
    <w:rsid w:val="008504C9"/>
    <w:rsid w:val="0085051B"/>
    <w:rsid w:val="00850EE9"/>
    <w:rsid w:val="0085101D"/>
    <w:rsid w:val="0085169D"/>
    <w:rsid w:val="00851A37"/>
    <w:rsid w:val="00851AA5"/>
    <w:rsid w:val="00852369"/>
    <w:rsid w:val="008525A9"/>
    <w:rsid w:val="008526FA"/>
    <w:rsid w:val="00852887"/>
    <w:rsid w:val="00852BA9"/>
    <w:rsid w:val="00852C1E"/>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63A"/>
    <w:rsid w:val="008628B4"/>
    <w:rsid w:val="00862F65"/>
    <w:rsid w:val="00862FC7"/>
    <w:rsid w:val="0086342F"/>
    <w:rsid w:val="0086359B"/>
    <w:rsid w:val="0086360A"/>
    <w:rsid w:val="008638F0"/>
    <w:rsid w:val="00863A21"/>
    <w:rsid w:val="00863B9C"/>
    <w:rsid w:val="0086472E"/>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404B"/>
    <w:rsid w:val="00874275"/>
    <w:rsid w:val="00874583"/>
    <w:rsid w:val="00874A5E"/>
    <w:rsid w:val="00874B4C"/>
    <w:rsid w:val="00874F29"/>
    <w:rsid w:val="00875351"/>
    <w:rsid w:val="0087541F"/>
    <w:rsid w:val="00875D4D"/>
    <w:rsid w:val="008764A6"/>
    <w:rsid w:val="00876903"/>
    <w:rsid w:val="008779C5"/>
    <w:rsid w:val="00877A84"/>
    <w:rsid w:val="00877C13"/>
    <w:rsid w:val="00880FA5"/>
    <w:rsid w:val="008811CC"/>
    <w:rsid w:val="0088175C"/>
    <w:rsid w:val="008818EB"/>
    <w:rsid w:val="00881E57"/>
    <w:rsid w:val="00882A3B"/>
    <w:rsid w:val="00883F3D"/>
    <w:rsid w:val="00884539"/>
    <w:rsid w:val="008845B3"/>
    <w:rsid w:val="00884FAA"/>
    <w:rsid w:val="00885467"/>
    <w:rsid w:val="00885BA7"/>
    <w:rsid w:val="00885E93"/>
    <w:rsid w:val="008861A9"/>
    <w:rsid w:val="0088634B"/>
    <w:rsid w:val="00886964"/>
    <w:rsid w:val="00886DC6"/>
    <w:rsid w:val="00886F07"/>
    <w:rsid w:val="00886F21"/>
    <w:rsid w:val="00890E77"/>
    <w:rsid w:val="00890E81"/>
    <w:rsid w:val="00890FE6"/>
    <w:rsid w:val="008910FD"/>
    <w:rsid w:val="008913E0"/>
    <w:rsid w:val="00891454"/>
    <w:rsid w:val="00891EEF"/>
    <w:rsid w:val="008920E9"/>
    <w:rsid w:val="0089212C"/>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896"/>
    <w:rsid w:val="008959BF"/>
    <w:rsid w:val="00895C85"/>
    <w:rsid w:val="00895CF0"/>
    <w:rsid w:val="0089630C"/>
    <w:rsid w:val="00896666"/>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DB5"/>
    <w:rsid w:val="008A5DEE"/>
    <w:rsid w:val="008A5F7B"/>
    <w:rsid w:val="008A717A"/>
    <w:rsid w:val="008A721A"/>
    <w:rsid w:val="008A7866"/>
    <w:rsid w:val="008A7E22"/>
    <w:rsid w:val="008B008A"/>
    <w:rsid w:val="008B0368"/>
    <w:rsid w:val="008B0376"/>
    <w:rsid w:val="008B0414"/>
    <w:rsid w:val="008B0CDC"/>
    <w:rsid w:val="008B0F2C"/>
    <w:rsid w:val="008B13D9"/>
    <w:rsid w:val="008B158E"/>
    <w:rsid w:val="008B171F"/>
    <w:rsid w:val="008B219F"/>
    <w:rsid w:val="008B2ECE"/>
    <w:rsid w:val="008B3041"/>
    <w:rsid w:val="008B3407"/>
    <w:rsid w:val="008B42B9"/>
    <w:rsid w:val="008B47F0"/>
    <w:rsid w:val="008B48DB"/>
    <w:rsid w:val="008B4BF0"/>
    <w:rsid w:val="008B5078"/>
    <w:rsid w:val="008B51FF"/>
    <w:rsid w:val="008B5235"/>
    <w:rsid w:val="008B598F"/>
    <w:rsid w:val="008B5C19"/>
    <w:rsid w:val="008B5EA8"/>
    <w:rsid w:val="008B6130"/>
    <w:rsid w:val="008B621E"/>
    <w:rsid w:val="008B6536"/>
    <w:rsid w:val="008B6679"/>
    <w:rsid w:val="008B6735"/>
    <w:rsid w:val="008B6977"/>
    <w:rsid w:val="008B6B7F"/>
    <w:rsid w:val="008B710F"/>
    <w:rsid w:val="008B7129"/>
    <w:rsid w:val="008B72F8"/>
    <w:rsid w:val="008B7683"/>
    <w:rsid w:val="008C0C29"/>
    <w:rsid w:val="008C0F4C"/>
    <w:rsid w:val="008C1510"/>
    <w:rsid w:val="008C26B2"/>
    <w:rsid w:val="008C29DD"/>
    <w:rsid w:val="008C3287"/>
    <w:rsid w:val="008C34B6"/>
    <w:rsid w:val="008C3773"/>
    <w:rsid w:val="008C3806"/>
    <w:rsid w:val="008C3AE0"/>
    <w:rsid w:val="008C3C72"/>
    <w:rsid w:val="008C3DBA"/>
    <w:rsid w:val="008C3F0B"/>
    <w:rsid w:val="008C3F7C"/>
    <w:rsid w:val="008C4844"/>
    <w:rsid w:val="008C5B54"/>
    <w:rsid w:val="008C5C83"/>
    <w:rsid w:val="008C617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3C5"/>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94"/>
    <w:rsid w:val="008E3968"/>
    <w:rsid w:val="008E3AF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D53"/>
    <w:rsid w:val="008E7F39"/>
    <w:rsid w:val="008F00CC"/>
    <w:rsid w:val="008F02A3"/>
    <w:rsid w:val="008F054E"/>
    <w:rsid w:val="008F0AA6"/>
    <w:rsid w:val="008F0C8B"/>
    <w:rsid w:val="008F1006"/>
    <w:rsid w:val="008F1761"/>
    <w:rsid w:val="008F1887"/>
    <w:rsid w:val="008F2337"/>
    <w:rsid w:val="008F26A5"/>
    <w:rsid w:val="008F2B79"/>
    <w:rsid w:val="008F2DA1"/>
    <w:rsid w:val="008F3B8B"/>
    <w:rsid w:val="008F3FAC"/>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B00"/>
    <w:rsid w:val="00902BCF"/>
    <w:rsid w:val="00903D2A"/>
    <w:rsid w:val="00904B95"/>
    <w:rsid w:val="00905146"/>
    <w:rsid w:val="009051D6"/>
    <w:rsid w:val="0090527B"/>
    <w:rsid w:val="0090532F"/>
    <w:rsid w:val="00905A4C"/>
    <w:rsid w:val="00906319"/>
    <w:rsid w:val="0090666A"/>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44D9"/>
    <w:rsid w:val="009157F2"/>
    <w:rsid w:val="00915AAF"/>
    <w:rsid w:val="009165C1"/>
    <w:rsid w:val="00916814"/>
    <w:rsid w:val="0091691D"/>
    <w:rsid w:val="00917388"/>
    <w:rsid w:val="00917925"/>
    <w:rsid w:val="00920A39"/>
    <w:rsid w:val="00920F25"/>
    <w:rsid w:val="00921252"/>
    <w:rsid w:val="00921528"/>
    <w:rsid w:val="00921872"/>
    <w:rsid w:val="00921EC9"/>
    <w:rsid w:val="00921FF2"/>
    <w:rsid w:val="0092246D"/>
    <w:rsid w:val="00922919"/>
    <w:rsid w:val="0092297E"/>
    <w:rsid w:val="00922A7C"/>
    <w:rsid w:val="00922EE3"/>
    <w:rsid w:val="00923082"/>
    <w:rsid w:val="0092380B"/>
    <w:rsid w:val="00923C96"/>
    <w:rsid w:val="00924157"/>
    <w:rsid w:val="0092437C"/>
    <w:rsid w:val="0092479E"/>
    <w:rsid w:val="00924B1A"/>
    <w:rsid w:val="00924B5F"/>
    <w:rsid w:val="00924CF3"/>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A14"/>
    <w:rsid w:val="00931DB8"/>
    <w:rsid w:val="00931E9A"/>
    <w:rsid w:val="00931EF6"/>
    <w:rsid w:val="00931EF8"/>
    <w:rsid w:val="009320B7"/>
    <w:rsid w:val="00932375"/>
    <w:rsid w:val="009323D9"/>
    <w:rsid w:val="00932C1A"/>
    <w:rsid w:val="00932CEB"/>
    <w:rsid w:val="009330DF"/>
    <w:rsid w:val="00933656"/>
    <w:rsid w:val="00933B80"/>
    <w:rsid w:val="00933C58"/>
    <w:rsid w:val="00933CB6"/>
    <w:rsid w:val="0093415B"/>
    <w:rsid w:val="009341A0"/>
    <w:rsid w:val="009341D8"/>
    <w:rsid w:val="0093508E"/>
    <w:rsid w:val="0093520C"/>
    <w:rsid w:val="0093552B"/>
    <w:rsid w:val="009358A9"/>
    <w:rsid w:val="0093618A"/>
    <w:rsid w:val="009378CD"/>
    <w:rsid w:val="00937975"/>
    <w:rsid w:val="00940654"/>
    <w:rsid w:val="0094067B"/>
    <w:rsid w:val="00940C04"/>
    <w:rsid w:val="00941297"/>
    <w:rsid w:val="00941BA3"/>
    <w:rsid w:val="00942798"/>
    <w:rsid w:val="00942BC1"/>
    <w:rsid w:val="00942DB0"/>
    <w:rsid w:val="0094327A"/>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EA7"/>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670"/>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33D"/>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CD3"/>
    <w:rsid w:val="00970D04"/>
    <w:rsid w:val="009713FE"/>
    <w:rsid w:val="00971566"/>
    <w:rsid w:val="009719C1"/>
    <w:rsid w:val="00971E19"/>
    <w:rsid w:val="00972166"/>
    <w:rsid w:val="00972484"/>
    <w:rsid w:val="009725CE"/>
    <w:rsid w:val="00972DAD"/>
    <w:rsid w:val="00973047"/>
    <w:rsid w:val="009734E7"/>
    <w:rsid w:val="00973873"/>
    <w:rsid w:val="00973B05"/>
    <w:rsid w:val="00973D52"/>
    <w:rsid w:val="00973E9B"/>
    <w:rsid w:val="00974A0D"/>
    <w:rsid w:val="00975374"/>
    <w:rsid w:val="009756A8"/>
    <w:rsid w:val="009756DC"/>
    <w:rsid w:val="009758A9"/>
    <w:rsid w:val="00975A47"/>
    <w:rsid w:val="00975E26"/>
    <w:rsid w:val="00976109"/>
    <w:rsid w:val="0097630B"/>
    <w:rsid w:val="00976695"/>
    <w:rsid w:val="00980088"/>
    <w:rsid w:val="009802BE"/>
    <w:rsid w:val="009802F5"/>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210B"/>
    <w:rsid w:val="009937D3"/>
    <w:rsid w:val="00994057"/>
    <w:rsid w:val="00994286"/>
    <w:rsid w:val="009945AF"/>
    <w:rsid w:val="0099470F"/>
    <w:rsid w:val="0099537E"/>
    <w:rsid w:val="009967D6"/>
    <w:rsid w:val="00996B27"/>
    <w:rsid w:val="00996D56"/>
    <w:rsid w:val="00996DBB"/>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CE5"/>
    <w:rsid w:val="009A6E7C"/>
    <w:rsid w:val="009A7810"/>
    <w:rsid w:val="009B0249"/>
    <w:rsid w:val="009B03E6"/>
    <w:rsid w:val="009B08A9"/>
    <w:rsid w:val="009B1151"/>
    <w:rsid w:val="009B18A7"/>
    <w:rsid w:val="009B1996"/>
    <w:rsid w:val="009B2949"/>
    <w:rsid w:val="009B2AF4"/>
    <w:rsid w:val="009B34C7"/>
    <w:rsid w:val="009B3FD0"/>
    <w:rsid w:val="009B438C"/>
    <w:rsid w:val="009B43CA"/>
    <w:rsid w:val="009B4B40"/>
    <w:rsid w:val="009B4BB8"/>
    <w:rsid w:val="009B4CF4"/>
    <w:rsid w:val="009B6FF9"/>
    <w:rsid w:val="009B70CF"/>
    <w:rsid w:val="009B72CE"/>
    <w:rsid w:val="009C0245"/>
    <w:rsid w:val="009C0AC2"/>
    <w:rsid w:val="009C0E26"/>
    <w:rsid w:val="009C0E59"/>
    <w:rsid w:val="009C1AD3"/>
    <w:rsid w:val="009C21F4"/>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06"/>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A63"/>
    <w:rsid w:val="009D7DE9"/>
    <w:rsid w:val="009D7FD6"/>
    <w:rsid w:val="009E0411"/>
    <w:rsid w:val="009E0BDC"/>
    <w:rsid w:val="009E134F"/>
    <w:rsid w:val="009E16A1"/>
    <w:rsid w:val="009E1DC4"/>
    <w:rsid w:val="009E203F"/>
    <w:rsid w:val="009E2064"/>
    <w:rsid w:val="009E2088"/>
    <w:rsid w:val="009E2401"/>
    <w:rsid w:val="009E297D"/>
    <w:rsid w:val="009E3373"/>
    <w:rsid w:val="009E3506"/>
    <w:rsid w:val="009E3570"/>
    <w:rsid w:val="009E36A0"/>
    <w:rsid w:val="009E48EB"/>
    <w:rsid w:val="009E4AA8"/>
    <w:rsid w:val="009E4D0E"/>
    <w:rsid w:val="009E5180"/>
    <w:rsid w:val="009E5380"/>
    <w:rsid w:val="009E5490"/>
    <w:rsid w:val="009E58BD"/>
    <w:rsid w:val="009E5C2A"/>
    <w:rsid w:val="009E65B9"/>
    <w:rsid w:val="009E69AB"/>
    <w:rsid w:val="009E6ABC"/>
    <w:rsid w:val="009E7AF4"/>
    <w:rsid w:val="009E7CEE"/>
    <w:rsid w:val="009E7CFF"/>
    <w:rsid w:val="009E7EC6"/>
    <w:rsid w:val="009E7F33"/>
    <w:rsid w:val="009F0D0E"/>
    <w:rsid w:val="009F1267"/>
    <w:rsid w:val="009F1418"/>
    <w:rsid w:val="009F1A40"/>
    <w:rsid w:val="009F243B"/>
    <w:rsid w:val="009F2A71"/>
    <w:rsid w:val="009F2CEC"/>
    <w:rsid w:val="009F3292"/>
    <w:rsid w:val="009F37B5"/>
    <w:rsid w:val="009F4407"/>
    <w:rsid w:val="009F4A6E"/>
    <w:rsid w:val="009F4DC0"/>
    <w:rsid w:val="009F502C"/>
    <w:rsid w:val="009F50A5"/>
    <w:rsid w:val="009F5151"/>
    <w:rsid w:val="009F5AC0"/>
    <w:rsid w:val="009F634F"/>
    <w:rsid w:val="009F65B7"/>
    <w:rsid w:val="009F69B9"/>
    <w:rsid w:val="009F7915"/>
    <w:rsid w:val="009F7A69"/>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0E9"/>
    <w:rsid w:val="00A1513E"/>
    <w:rsid w:val="00A155BB"/>
    <w:rsid w:val="00A15F91"/>
    <w:rsid w:val="00A15FD9"/>
    <w:rsid w:val="00A16145"/>
    <w:rsid w:val="00A1667B"/>
    <w:rsid w:val="00A167F5"/>
    <w:rsid w:val="00A1743B"/>
    <w:rsid w:val="00A17500"/>
    <w:rsid w:val="00A202ED"/>
    <w:rsid w:val="00A209FA"/>
    <w:rsid w:val="00A20AEA"/>
    <w:rsid w:val="00A20B3E"/>
    <w:rsid w:val="00A20B90"/>
    <w:rsid w:val="00A20BB9"/>
    <w:rsid w:val="00A210D8"/>
    <w:rsid w:val="00A21BA3"/>
    <w:rsid w:val="00A21EC1"/>
    <w:rsid w:val="00A22248"/>
    <w:rsid w:val="00A22495"/>
    <w:rsid w:val="00A22499"/>
    <w:rsid w:val="00A224AE"/>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F8C"/>
    <w:rsid w:val="00A42132"/>
    <w:rsid w:val="00A42691"/>
    <w:rsid w:val="00A43091"/>
    <w:rsid w:val="00A43945"/>
    <w:rsid w:val="00A439D0"/>
    <w:rsid w:val="00A43CE7"/>
    <w:rsid w:val="00A441EA"/>
    <w:rsid w:val="00A4466A"/>
    <w:rsid w:val="00A44ACC"/>
    <w:rsid w:val="00A44B23"/>
    <w:rsid w:val="00A453F3"/>
    <w:rsid w:val="00A45BDD"/>
    <w:rsid w:val="00A45C94"/>
    <w:rsid w:val="00A45CE8"/>
    <w:rsid w:val="00A46091"/>
    <w:rsid w:val="00A46391"/>
    <w:rsid w:val="00A463AB"/>
    <w:rsid w:val="00A46781"/>
    <w:rsid w:val="00A470D1"/>
    <w:rsid w:val="00A470FB"/>
    <w:rsid w:val="00A4768D"/>
    <w:rsid w:val="00A4781D"/>
    <w:rsid w:val="00A50494"/>
    <w:rsid w:val="00A50DA3"/>
    <w:rsid w:val="00A512D8"/>
    <w:rsid w:val="00A51441"/>
    <w:rsid w:val="00A51CB7"/>
    <w:rsid w:val="00A52704"/>
    <w:rsid w:val="00A52DCC"/>
    <w:rsid w:val="00A52EC8"/>
    <w:rsid w:val="00A53144"/>
    <w:rsid w:val="00A532E7"/>
    <w:rsid w:val="00A53819"/>
    <w:rsid w:val="00A53E58"/>
    <w:rsid w:val="00A544FE"/>
    <w:rsid w:val="00A54B42"/>
    <w:rsid w:val="00A55981"/>
    <w:rsid w:val="00A55D6D"/>
    <w:rsid w:val="00A55FD3"/>
    <w:rsid w:val="00A564E8"/>
    <w:rsid w:val="00A56EBD"/>
    <w:rsid w:val="00A5756B"/>
    <w:rsid w:val="00A5765C"/>
    <w:rsid w:val="00A57EF6"/>
    <w:rsid w:val="00A60A1E"/>
    <w:rsid w:val="00A60C96"/>
    <w:rsid w:val="00A60D11"/>
    <w:rsid w:val="00A60F2C"/>
    <w:rsid w:val="00A613B1"/>
    <w:rsid w:val="00A61773"/>
    <w:rsid w:val="00A62188"/>
    <w:rsid w:val="00A62699"/>
    <w:rsid w:val="00A62731"/>
    <w:rsid w:val="00A62C5D"/>
    <w:rsid w:val="00A636FC"/>
    <w:rsid w:val="00A6386C"/>
    <w:rsid w:val="00A638B5"/>
    <w:rsid w:val="00A63DC3"/>
    <w:rsid w:val="00A63DF9"/>
    <w:rsid w:val="00A6486F"/>
    <w:rsid w:val="00A64FFD"/>
    <w:rsid w:val="00A6520F"/>
    <w:rsid w:val="00A652B3"/>
    <w:rsid w:val="00A6545D"/>
    <w:rsid w:val="00A65566"/>
    <w:rsid w:val="00A66663"/>
    <w:rsid w:val="00A6706E"/>
    <w:rsid w:val="00A671B2"/>
    <w:rsid w:val="00A671F3"/>
    <w:rsid w:val="00A6733E"/>
    <w:rsid w:val="00A679D7"/>
    <w:rsid w:val="00A67AAD"/>
    <w:rsid w:val="00A70077"/>
    <w:rsid w:val="00A70B34"/>
    <w:rsid w:val="00A70BF9"/>
    <w:rsid w:val="00A71583"/>
    <w:rsid w:val="00A71DB1"/>
    <w:rsid w:val="00A71E6A"/>
    <w:rsid w:val="00A71FEF"/>
    <w:rsid w:val="00A724D9"/>
    <w:rsid w:val="00A72777"/>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F37"/>
    <w:rsid w:val="00A9146B"/>
    <w:rsid w:val="00A9196A"/>
    <w:rsid w:val="00A9316B"/>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A0121"/>
    <w:rsid w:val="00AA017E"/>
    <w:rsid w:val="00AA0268"/>
    <w:rsid w:val="00AA0EB9"/>
    <w:rsid w:val="00AA1075"/>
    <w:rsid w:val="00AA1809"/>
    <w:rsid w:val="00AA194B"/>
    <w:rsid w:val="00AA225E"/>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057"/>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FC2"/>
    <w:rsid w:val="00AB641A"/>
    <w:rsid w:val="00AB7378"/>
    <w:rsid w:val="00AB743B"/>
    <w:rsid w:val="00AB78CD"/>
    <w:rsid w:val="00AB792A"/>
    <w:rsid w:val="00AC0202"/>
    <w:rsid w:val="00AC0218"/>
    <w:rsid w:val="00AC041F"/>
    <w:rsid w:val="00AC064B"/>
    <w:rsid w:val="00AC0DF3"/>
    <w:rsid w:val="00AC1105"/>
    <w:rsid w:val="00AC1AF7"/>
    <w:rsid w:val="00AC1F50"/>
    <w:rsid w:val="00AC2872"/>
    <w:rsid w:val="00AC29F8"/>
    <w:rsid w:val="00AC34BD"/>
    <w:rsid w:val="00AC3E8A"/>
    <w:rsid w:val="00AC460D"/>
    <w:rsid w:val="00AC469E"/>
    <w:rsid w:val="00AC4921"/>
    <w:rsid w:val="00AC4E36"/>
    <w:rsid w:val="00AC59C2"/>
    <w:rsid w:val="00AC5F49"/>
    <w:rsid w:val="00AC60E9"/>
    <w:rsid w:val="00AC75A7"/>
    <w:rsid w:val="00AC7FB9"/>
    <w:rsid w:val="00AD00E6"/>
    <w:rsid w:val="00AD02AF"/>
    <w:rsid w:val="00AD03CF"/>
    <w:rsid w:val="00AD0493"/>
    <w:rsid w:val="00AD0530"/>
    <w:rsid w:val="00AD055C"/>
    <w:rsid w:val="00AD05DE"/>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655"/>
    <w:rsid w:val="00AD4FFB"/>
    <w:rsid w:val="00AD550E"/>
    <w:rsid w:val="00AD5630"/>
    <w:rsid w:val="00AD59B0"/>
    <w:rsid w:val="00AD5F2F"/>
    <w:rsid w:val="00AD62E4"/>
    <w:rsid w:val="00AD658E"/>
    <w:rsid w:val="00AD6E7C"/>
    <w:rsid w:val="00AD752B"/>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A95"/>
    <w:rsid w:val="00AE3B98"/>
    <w:rsid w:val="00AE3D09"/>
    <w:rsid w:val="00AE4E25"/>
    <w:rsid w:val="00AE4F58"/>
    <w:rsid w:val="00AE577C"/>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C33"/>
    <w:rsid w:val="00AF1F2C"/>
    <w:rsid w:val="00AF2397"/>
    <w:rsid w:val="00AF2D3C"/>
    <w:rsid w:val="00AF3309"/>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F85"/>
    <w:rsid w:val="00B00FBC"/>
    <w:rsid w:val="00B0122F"/>
    <w:rsid w:val="00B012F4"/>
    <w:rsid w:val="00B014A4"/>
    <w:rsid w:val="00B014D4"/>
    <w:rsid w:val="00B016B8"/>
    <w:rsid w:val="00B01F39"/>
    <w:rsid w:val="00B03A5D"/>
    <w:rsid w:val="00B03F6E"/>
    <w:rsid w:val="00B0409E"/>
    <w:rsid w:val="00B0464D"/>
    <w:rsid w:val="00B04BAD"/>
    <w:rsid w:val="00B054EA"/>
    <w:rsid w:val="00B05852"/>
    <w:rsid w:val="00B0735F"/>
    <w:rsid w:val="00B0746F"/>
    <w:rsid w:val="00B07D7C"/>
    <w:rsid w:val="00B108C5"/>
    <w:rsid w:val="00B11596"/>
    <w:rsid w:val="00B120C1"/>
    <w:rsid w:val="00B12100"/>
    <w:rsid w:val="00B12889"/>
    <w:rsid w:val="00B12AAA"/>
    <w:rsid w:val="00B12C58"/>
    <w:rsid w:val="00B13141"/>
    <w:rsid w:val="00B131F5"/>
    <w:rsid w:val="00B13331"/>
    <w:rsid w:val="00B13B7E"/>
    <w:rsid w:val="00B13E87"/>
    <w:rsid w:val="00B1424B"/>
    <w:rsid w:val="00B14495"/>
    <w:rsid w:val="00B15321"/>
    <w:rsid w:val="00B1593E"/>
    <w:rsid w:val="00B15ABC"/>
    <w:rsid w:val="00B16A40"/>
    <w:rsid w:val="00B170D8"/>
    <w:rsid w:val="00B17440"/>
    <w:rsid w:val="00B176F5"/>
    <w:rsid w:val="00B17A42"/>
    <w:rsid w:val="00B17D52"/>
    <w:rsid w:val="00B2040C"/>
    <w:rsid w:val="00B2063E"/>
    <w:rsid w:val="00B20F38"/>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2762"/>
    <w:rsid w:val="00B3344B"/>
    <w:rsid w:val="00B339AB"/>
    <w:rsid w:val="00B33D3B"/>
    <w:rsid w:val="00B33EFA"/>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6006"/>
    <w:rsid w:val="00B4661A"/>
    <w:rsid w:val="00B46C25"/>
    <w:rsid w:val="00B5007C"/>
    <w:rsid w:val="00B504DA"/>
    <w:rsid w:val="00B51611"/>
    <w:rsid w:val="00B5173B"/>
    <w:rsid w:val="00B51CED"/>
    <w:rsid w:val="00B5227A"/>
    <w:rsid w:val="00B5228A"/>
    <w:rsid w:val="00B52440"/>
    <w:rsid w:val="00B524F2"/>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4F7"/>
    <w:rsid w:val="00B5677E"/>
    <w:rsid w:val="00B56F6D"/>
    <w:rsid w:val="00B570EE"/>
    <w:rsid w:val="00B5726B"/>
    <w:rsid w:val="00B57391"/>
    <w:rsid w:val="00B57791"/>
    <w:rsid w:val="00B57C94"/>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776"/>
    <w:rsid w:val="00B6681A"/>
    <w:rsid w:val="00B66ADF"/>
    <w:rsid w:val="00B66D11"/>
    <w:rsid w:val="00B6710F"/>
    <w:rsid w:val="00B67146"/>
    <w:rsid w:val="00B6722E"/>
    <w:rsid w:val="00B67607"/>
    <w:rsid w:val="00B67809"/>
    <w:rsid w:val="00B67E5C"/>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4A54"/>
    <w:rsid w:val="00B85392"/>
    <w:rsid w:val="00B855FB"/>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5BC"/>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A7"/>
    <w:rsid w:val="00B9507A"/>
    <w:rsid w:val="00B950A8"/>
    <w:rsid w:val="00B9510F"/>
    <w:rsid w:val="00B95A41"/>
    <w:rsid w:val="00B95BD2"/>
    <w:rsid w:val="00B96269"/>
    <w:rsid w:val="00B96407"/>
    <w:rsid w:val="00B96468"/>
    <w:rsid w:val="00B9657A"/>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6738"/>
    <w:rsid w:val="00BA77E9"/>
    <w:rsid w:val="00BA79B5"/>
    <w:rsid w:val="00BB00D2"/>
    <w:rsid w:val="00BB01A4"/>
    <w:rsid w:val="00BB03BF"/>
    <w:rsid w:val="00BB09C9"/>
    <w:rsid w:val="00BB0EE7"/>
    <w:rsid w:val="00BB1066"/>
    <w:rsid w:val="00BB119F"/>
    <w:rsid w:val="00BB1341"/>
    <w:rsid w:val="00BB141D"/>
    <w:rsid w:val="00BB1B0E"/>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3BD"/>
    <w:rsid w:val="00BC1B87"/>
    <w:rsid w:val="00BC1CB9"/>
    <w:rsid w:val="00BC1DEC"/>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6F"/>
    <w:rsid w:val="00BC7B34"/>
    <w:rsid w:val="00BD006A"/>
    <w:rsid w:val="00BD012A"/>
    <w:rsid w:val="00BD1B09"/>
    <w:rsid w:val="00BD1BB7"/>
    <w:rsid w:val="00BD1F8B"/>
    <w:rsid w:val="00BD202B"/>
    <w:rsid w:val="00BD20E7"/>
    <w:rsid w:val="00BD26ED"/>
    <w:rsid w:val="00BD2A49"/>
    <w:rsid w:val="00BD2ED8"/>
    <w:rsid w:val="00BD3338"/>
    <w:rsid w:val="00BD3DF5"/>
    <w:rsid w:val="00BD4615"/>
    <w:rsid w:val="00BD46F3"/>
    <w:rsid w:val="00BD4BCC"/>
    <w:rsid w:val="00BD58B8"/>
    <w:rsid w:val="00BD604B"/>
    <w:rsid w:val="00BD60A0"/>
    <w:rsid w:val="00BD6183"/>
    <w:rsid w:val="00BD6591"/>
    <w:rsid w:val="00BD659D"/>
    <w:rsid w:val="00BD6D2D"/>
    <w:rsid w:val="00BD7999"/>
    <w:rsid w:val="00BD7AB6"/>
    <w:rsid w:val="00BD7D14"/>
    <w:rsid w:val="00BD7DE3"/>
    <w:rsid w:val="00BE010F"/>
    <w:rsid w:val="00BE0906"/>
    <w:rsid w:val="00BE180F"/>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518"/>
    <w:rsid w:val="00BF0E98"/>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52FF"/>
    <w:rsid w:val="00C0535A"/>
    <w:rsid w:val="00C055F4"/>
    <w:rsid w:val="00C05818"/>
    <w:rsid w:val="00C06951"/>
    <w:rsid w:val="00C07342"/>
    <w:rsid w:val="00C07553"/>
    <w:rsid w:val="00C0777F"/>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AB"/>
    <w:rsid w:val="00C140E0"/>
    <w:rsid w:val="00C14790"/>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EEC"/>
    <w:rsid w:val="00C23006"/>
    <w:rsid w:val="00C23090"/>
    <w:rsid w:val="00C2333D"/>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0B0"/>
    <w:rsid w:val="00C3635F"/>
    <w:rsid w:val="00C364C5"/>
    <w:rsid w:val="00C36739"/>
    <w:rsid w:val="00C368B9"/>
    <w:rsid w:val="00C36F1C"/>
    <w:rsid w:val="00C37A99"/>
    <w:rsid w:val="00C37F12"/>
    <w:rsid w:val="00C37F2D"/>
    <w:rsid w:val="00C400D0"/>
    <w:rsid w:val="00C40489"/>
    <w:rsid w:val="00C406D4"/>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3460"/>
    <w:rsid w:val="00C5391F"/>
    <w:rsid w:val="00C5393E"/>
    <w:rsid w:val="00C53977"/>
    <w:rsid w:val="00C53AA8"/>
    <w:rsid w:val="00C53DCD"/>
    <w:rsid w:val="00C545D9"/>
    <w:rsid w:val="00C54BEA"/>
    <w:rsid w:val="00C54D15"/>
    <w:rsid w:val="00C55629"/>
    <w:rsid w:val="00C55BEB"/>
    <w:rsid w:val="00C564CB"/>
    <w:rsid w:val="00C56C9D"/>
    <w:rsid w:val="00C56CE0"/>
    <w:rsid w:val="00C5710C"/>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A6"/>
    <w:rsid w:val="00C64FBF"/>
    <w:rsid w:val="00C65505"/>
    <w:rsid w:val="00C656B5"/>
    <w:rsid w:val="00C65930"/>
    <w:rsid w:val="00C65A63"/>
    <w:rsid w:val="00C65A98"/>
    <w:rsid w:val="00C65FBD"/>
    <w:rsid w:val="00C66204"/>
    <w:rsid w:val="00C66F66"/>
    <w:rsid w:val="00C67146"/>
    <w:rsid w:val="00C67501"/>
    <w:rsid w:val="00C67758"/>
    <w:rsid w:val="00C67AAB"/>
    <w:rsid w:val="00C70082"/>
    <w:rsid w:val="00C70250"/>
    <w:rsid w:val="00C704A4"/>
    <w:rsid w:val="00C707EA"/>
    <w:rsid w:val="00C70A5C"/>
    <w:rsid w:val="00C70BC8"/>
    <w:rsid w:val="00C70BFA"/>
    <w:rsid w:val="00C7192B"/>
    <w:rsid w:val="00C71CC7"/>
    <w:rsid w:val="00C72141"/>
    <w:rsid w:val="00C72554"/>
    <w:rsid w:val="00C7305F"/>
    <w:rsid w:val="00C7325E"/>
    <w:rsid w:val="00C735B9"/>
    <w:rsid w:val="00C7452A"/>
    <w:rsid w:val="00C749C9"/>
    <w:rsid w:val="00C74C29"/>
    <w:rsid w:val="00C75518"/>
    <w:rsid w:val="00C7575E"/>
    <w:rsid w:val="00C75896"/>
    <w:rsid w:val="00C76EAE"/>
    <w:rsid w:val="00C7714F"/>
    <w:rsid w:val="00C77152"/>
    <w:rsid w:val="00C77366"/>
    <w:rsid w:val="00C77627"/>
    <w:rsid w:val="00C77A33"/>
    <w:rsid w:val="00C77B1D"/>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3F8"/>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48B"/>
    <w:rsid w:val="00CA1DD8"/>
    <w:rsid w:val="00CA2264"/>
    <w:rsid w:val="00CA2374"/>
    <w:rsid w:val="00CA2AFC"/>
    <w:rsid w:val="00CA2C80"/>
    <w:rsid w:val="00CA2E2B"/>
    <w:rsid w:val="00CA2F8A"/>
    <w:rsid w:val="00CA3BE7"/>
    <w:rsid w:val="00CA3F97"/>
    <w:rsid w:val="00CA3FF1"/>
    <w:rsid w:val="00CA4300"/>
    <w:rsid w:val="00CA467D"/>
    <w:rsid w:val="00CA47C7"/>
    <w:rsid w:val="00CA4A3E"/>
    <w:rsid w:val="00CA4CD9"/>
    <w:rsid w:val="00CA4D54"/>
    <w:rsid w:val="00CA4D76"/>
    <w:rsid w:val="00CA4F92"/>
    <w:rsid w:val="00CA4FD1"/>
    <w:rsid w:val="00CA550F"/>
    <w:rsid w:val="00CA5666"/>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77D"/>
    <w:rsid w:val="00CB4A37"/>
    <w:rsid w:val="00CB4DFE"/>
    <w:rsid w:val="00CB50D4"/>
    <w:rsid w:val="00CB567B"/>
    <w:rsid w:val="00CB5EBF"/>
    <w:rsid w:val="00CB5FB2"/>
    <w:rsid w:val="00CB60BC"/>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A18"/>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54E"/>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FF3"/>
    <w:rsid w:val="00CE219F"/>
    <w:rsid w:val="00CE2FF0"/>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A"/>
    <w:rsid w:val="00CF739C"/>
    <w:rsid w:val="00CF7630"/>
    <w:rsid w:val="00CF7788"/>
    <w:rsid w:val="00CF7BBE"/>
    <w:rsid w:val="00D00D87"/>
    <w:rsid w:val="00D01907"/>
    <w:rsid w:val="00D01FC0"/>
    <w:rsid w:val="00D02619"/>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DD"/>
    <w:rsid w:val="00D05800"/>
    <w:rsid w:val="00D05BF2"/>
    <w:rsid w:val="00D05C53"/>
    <w:rsid w:val="00D061B4"/>
    <w:rsid w:val="00D0637F"/>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F1"/>
    <w:rsid w:val="00D17DAC"/>
    <w:rsid w:val="00D17F9C"/>
    <w:rsid w:val="00D20700"/>
    <w:rsid w:val="00D207D8"/>
    <w:rsid w:val="00D20A1E"/>
    <w:rsid w:val="00D20FD4"/>
    <w:rsid w:val="00D21187"/>
    <w:rsid w:val="00D212BF"/>
    <w:rsid w:val="00D2131D"/>
    <w:rsid w:val="00D214DE"/>
    <w:rsid w:val="00D21523"/>
    <w:rsid w:val="00D219CE"/>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27D75"/>
    <w:rsid w:val="00D301A2"/>
    <w:rsid w:val="00D30AE0"/>
    <w:rsid w:val="00D30AE8"/>
    <w:rsid w:val="00D30BB3"/>
    <w:rsid w:val="00D30FAA"/>
    <w:rsid w:val="00D3114C"/>
    <w:rsid w:val="00D32155"/>
    <w:rsid w:val="00D3239C"/>
    <w:rsid w:val="00D3296E"/>
    <w:rsid w:val="00D3307C"/>
    <w:rsid w:val="00D331A9"/>
    <w:rsid w:val="00D331F1"/>
    <w:rsid w:val="00D33581"/>
    <w:rsid w:val="00D33AC0"/>
    <w:rsid w:val="00D3434A"/>
    <w:rsid w:val="00D34379"/>
    <w:rsid w:val="00D34FB1"/>
    <w:rsid w:val="00D350AF"/>
    <w:rsid w:val="00D35339"/>
    <w:rsid w:val="00D358BB"/>
    <w:rsid w:val="00D35EFE"/>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591"/>
    <w:rsid w:val="00D4312C"/>
    <w:rsid w:val="00D433C8"/>
    <w:rsid w:val="00D440A8"/>
    <w:rsid w:val="00D44136"/>
    <w:rsid w:val="00D4421B"/>
    <w:rsid w:val="00D447BF"/>
    <w:rsid w:val="00D4542C"/>
    <w:rsid w:val="00D45532"/>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A30"/>
    <w:rsid w:val="00D56CA6"/>
    <w:rsid w:val="00D5794B"/>
    <w:rsid w:val="00D57A61"/>
    <w:rsid w:val="00D57C03"/>
    <w:rsid w:val="00D60077"/>
    <w:rsid w:val="00D601E6"/>
    <w:rsid w:val="00D60296"/>
    <w:rsid w:val="00D60DE4"/>
    <w:rsid w:val="00D60E3E"/>
    <w:rsid w:val="00D6125B"/>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795"/>
    <w:rsid w:val="00D738D4"/>
    <w:rsid w:val="00D73926"/>
    <w:rsid w:val="00D73AE7"/>
    <w:rsid w:val="00D73B6D"/>
    <w:rsid w:val="00D74197"/>
    <w:rsid w:val="00D74352"/>
    <w:rsid w:val="00D74913"/>
    <w:rsid w:val="00D74EF0"/>
    <w:rsid w:val="00D752C0"/>
    <w:rsid w:val="00D752F5"/>
    <w:rsid w:val="00D755EE"/>
    <w:rsid w:val="00D75740"/>
    <w:rsid w:val="00D75B73"/>
    <w:rsid w:val="00D75DFA"/>
    <w:rsid w:val="00D76007"/>
    <w:rsid w:val="00D76A39"/>
    <w:rsid w:val="00D76FBD"/>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3E8"/>
    <w:rsid w:val="00D915E4"/>
    <w:rsid w:val="00D915EC"/>
    <w:rsid w:val="00D9162B"/>
    <w:rsid w:val="00D917C7"/>
    <w:rsid w:val="00D91EAA"/>
    <w:rsid w:val="00D91F38"/>
    <w:rsid w:val="00D921F8"/>
    <w:rsid w:val="00D925B0"/>
    <w:rsid w:val="00D92AA1"/>
    <w:rsid w:val="00D92E04"/>
    <w:rsid w:val="00D93C62"/>
    <w:rsid w:val="00D948E4"/>
    <w:rsid w:val="00D94981"/>
    <w:rsid w:val="00D94BE4"/>
    <w:rsid w:val="00D953CC"/>
    <w:rsid w:val="00D953FD"/>
    <w:rsid w:val="00D95578"/>
    <w:rsid w:val="00D9568C"/>
    <w:rsid w:val="00D9623F"/>
    <w:rsid w:val="00D96415"/>
    <w:rsid w:val="00D9648C"/>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BF1"/>
    <w:rsid w:val="00DA1C12"/>
    <w:rsid w:val="00DA2661"/>
    <w:rsid w:val="00DA2864"/>
    <w:rsid w:val="00DA2FAF"/>
    <w:rsid w:val="00DA356B"/>
    <w:rsid w:val="00DA3584"/>
    <w:rsid w:val="00DA3719"/>
    <w:rsid w:val="00DA39AF"/>
    <w:rsid w:val="00DA41D7"/>
    <w:rsid w:val="00DA4322"/>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6ADD"/>
    <w:rsid w:val="00DB7236"/>
    <w:rsid w:val="00DB7E87"/>
    <w:rsid w:val="00DC00C5"/>
    <w:rsid w:val="00DC0C44"/>
    <w:rsid w:val="00DC199A"/>
    <w:rsid w:val="00DC19D3"/>
    <w:rsid w:val="00DC2068"/>
    <w:rsid w:val="00DC231A"/>
    <w:rsid w:val="00DC2675"/>
    <w:rsid w:val="00DC2757"/>
    <w:rsid w:val="00DC28E0"/>
    <w:rsid w:val="00DC2CF9"/>
    <w:rsid w:val="00DC2E05"/>
    <w:rsid w:val="00DC2EF5"/>
    <w:rsid w:val="00DC2F7A"/>
    <w:rsid w:val="00DC30FF"/>
    <w:rsid w:val="00DC33A5"/>
    <w:rsid w:val="00DC342A"/>
    <w:rsid w:val="00DC3582"/>
    <w:rsid w:val="00DC3B80"/>
    <w:rsid w:val="00DC4385"/>
    <w:rsid w:val="00DC456C"/>
    <w:rsid w:val="00DC4CA6"/>
    <w:rsid w:val="00DC4DE8"/>
    <w:rsid w:val="00DC5174"/>
    <w:rsid w:val="00DC60CC"/>
    <w:rsid w:val="00DC6786"/>
    <w:rsid w:val="00DC6E69"/>
    <w:rsid w:val="00DC725F"/>
    <w:rsid w:val="00DC73DA"/>
    <w:rsid w:val="00DC78E1"/>
    <w:rsid w:val="00DC7D98"/>
    <w:rsid w:val="00DC7E68"/>
    <w:rsid w:val="00DD0368"/>
    <w:rsid w:val="00DD0860"/>
    <w:rsid w:val="00DD0FCD"/>
    <w:rsid w:val="00DD10AF"/>
    <w:rsid w:val="00DD17BD"/>
    <w:rsid w:val="00DD1C41"/>
    <w:rsid w:val="00DD1EEF"/>
    <w:rsid w:val="00DD256F"/>
    <w:rsid w:val="00DD2D0E"/>
    <w:rsid w:val="00DD401E"/>
    <w:rsid w:val="00DD47C9"/>
    <w:rsid w:val="00DD4A14"/>
    <w:rsid w:val="00DD4AB7"/>
    <w:rsid w:val="00DD50C0"/>
    <w:rsid w:val="00DD5E51"/>
    <w:rsid w:val="00DD63C8"/>
    <w:rsid w:val="00DD6BDF"/>
    <w:rsid w:val="00DD76EF"/>
    <w:rsid w:val="00DE0386"/>
    <w:rsid w:val="00DE0635"/>
    <w:rsid w:val="00DE1136"/>
    <w:rsid w:val="00DE1186"/>
    <w:rsid w:val="00DE120C"/>
    <w:rsid w:val="00DE1503"/>
    <w:rsid w:val="00DE19FA"/>
    <w:rsid w:val="00DE2320"/>
    <w:rsid w:val="00DE2958"/>
    <w:rsid w:val="00DE2AD2"/>
    <w:rsid w:val="00DE2D50"/>
    <w:rsid w:val="00DE2F92"/>
    <w:rsid w:val="00DE367F"/>
    <w:rsid w:val="00DE38AB"/>
    <w:rsid w:val="00DE3901"/>
    <w:rsid w:val="00DE3EE9"/>
    <w:rsid w:val="00DE4318"/>
    <w:rsid w:val="00DE476D"/>
    <w:rsid w:val="00DE5ABB"/>
    <w:rsid w:val="00DE6177"/>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7E"/>
    <w:rsid w:val="00DF4093"/>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DF6A01"/>
    <w:rsid w:val="00DF7EFB"/>
    <w:rsid w:val="00E00733"/>
    <w:rsid w:val="00E00749"/>
    <w:rsid w:val="00E00863"/>
    <w:rsid w:val="00E00C2D"/>
    <w:rsid w:val="00E00F61"/>
    <w:rsid w:val="00E01085"/>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561E"/>
    <w:rsid w:val="00E0574C"/>
    <w:rsid w:val="00E05880"/>
    <w:rsid w:val="00E06615"/>
    <w:rsid w:val="00E06FCB"/>
    <w:rsid w:val="00E07227"/>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CB9"/>
    <w:rsid w:val="00E20E9A"/>
    <w:rsid w:val="00E21E83"/>
    <w:rsid w:val="00E22433"/>
    <w:rsid w:val="00E232E9"/>
    <w:rsid w:val="00E2392C"/>
    <w:rsid w:val="00E23FA5"/>
    <w:rsid w:val="00E2432B"/>
    <w:rsid w:val="00E243D5"/>
    <w:rsid w:val="00E24790"/>
    <w:rsid w:val="00E24C59"/>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3140"/>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B6"/>
    <w:rsid w:val="00E42CB4"/>
    <w:rsid w:val="00E42FD6"/>
    <w:rsid w:val="00E43074"/>
    <w:rsid w:val="00E436F5"/>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DB2"/>
    <w:rsid w:val="00E512FB"/>
    <w:rsid w:val="00E51E18"/>
    <w:rsid w:val="00E522B2"/>
    <w:rsid w:val="00E529C3"/>
    <w:rsid w:val="00E52B68"/>
    <w:rsid w:val="00E5340D"/>
    <w:rsid w:val="00E5363B"/>
    <w:rsid w:val="00E539DD"/>
    <w:rsid w:val="00E53DDA"/>
    <w:rsid w:val="00E54169"/>
    <w:rsid w:val="00E543E0"/>
    <w:rsid w:val="00E5454D"/>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B92"/>
    <w:rsid w:val="00E60CDD"/>
    <w:rsid w:val="00E60CF7"/>
    <w:rsid w:val="00E60DDF"/>
    <w:rsid w:val="00E61BEC"/>
    <w:rsid w:val="00E622C3"/>
    <w:rsid w:val="00E6250E"/>
    <w:rsid w:val="00E62BE9"/>
    <w:rsid w:val="00E632BF"/>
    <w:rsid w:val="00E640D4"/>
    <w:rsid w:val="00E6453A"/>
    <w:rsid w:val="00E648C7"/>
    <w:rsid w:val="00E649E0"/>
    <w:rsid w:val="00E64D22"/>
    <w:rsid w:val="00E64DDF"/>
    <w:rsid w:val="00E650AC"/>
    <w:rsid w:val="00E65BB4"/>
    <w:rsid w:val="00E65C6C"/>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800ED"/>
    <w:rsid w:val="00E80590"/>
    <w:rsid w:val="00E8072F"/>
    <w:rsid w:val="00E80D20"/>
    <w:rsid w:val="00E811DB"/>
    <w:rsid w:val="00E8171D"/>
    <w:rsid w:val="00E81877"/>
    <w:rsid w:val="00E81BA8"/>
    <w:rsid w:val="00E8212C"/>
    <w:rsid w:val="00E823AB"/>
    <w:rsid w:val="00E82621"/>
    <w:rsid w:val="00E82E5B"/>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E1D"/>
    <w:rsid w:val="00E91032"/>
    <w:rsid w:val="00E9112C"/>
    <w:rsid w:val="00E9149B"/>
    <w:rsid w:val="00E918B9"/>
    <w:rsid w:val="00E91DEC"/>
    <w:rsid w:val="00E91E40"/>
    <w:rsid w:val="00E92BB9"/>
    <w:rsid w:val="00E92BC1"/>
    <w:rsid w:val="00E92C0F"/>
    <w:rsid w:val="00E92C24"/>
    <w:rsid w:val="00E93069"/>
    <w:rsid w:val="00E934BF"/>
    <w:rsid w:val="00E93564"/>
    <w:rsid w:val="00E93772"/>
    <w:rsid w:val="00E94187"/>
    <w:rsid w:val="00E9447C"/>
    <w:rsid w:val="00E94CC7"/>
    <w:rsid w:val="00E94D73"/>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DBB"/>
    <w:rsid w:val="00EA1E33"/>
    <w:rsid w:val="00EA1E84"/>
    <w:rsid w:val="00EA25FF"/>
    <w:rsid w:val="00EA2AC6"/>
    <w:rsid w:val="00EA348D"/>
    <w:rsid w:val="00EA35C4"/>
    <w:rsid w:val="00EA369E"/>
    <w:rsid w:val="00EA3A34"/>
    <w:rsid w:val="00EA4424"/>
    <w:rsid w:val="00EA4475"/>
    <w:rsid w:val="00EA4B34"/>
    <w:rsid w:val="00EA5772"/>
    <w:rsid w:val="00EA5C88"/>
    <w:rsid w:val="00EA619E"/>
    <w:rsid w:val="00EA68A4"/>
    <w:rsid w:val="00EA7284"/>
    <w:rsid w:val="00EA7960"/>
    <w:rsid w:val="00EA7C4C"/>
    <w:rsid w:val="00EB047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43F"/>
    <w:rsid w:val="00EB56B1"/>
    <w:rsid w:val="00EB5A30"/>
    <w:rsid w:val="00EB5CF1"/>
    <w:rsid w:val="00EB6A6A"/>
    <w:rsid w:val="00EB7852"/>
    <w:rsid w:val="00EB7F43"/>
    <w:rsid w:val="00EC0A5C"/>
    <w:rsid w:val="00EC105F"/>
    <w:rsid w:val="00EC1675"/>
    <w:rsid w:val="00EC243C"/>
    <w:rsid w:val="00EC25D8"/>
    <w:rsid w:val="00EC2929"/>
    <w:rsid w:val="00EC2A27"/>
    <w:rsid w:val="00EC33FA"/>
    <w:rsid w:val="00EC3B8D"/>
    <w:rsid w:val="00EC3F4B"/>
    <w:rsid w:val="00EC4379"/>
    <w:rsid w:val="00EC442A"/>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066"/>
    <w:rsid w:val="00ED3125"/>
    <w:rsid w:val="00ED31E8"/>
    <w:rsid w:val="00ED372A"/>
    <w:rsid w:val="00ED383D"/>
    <w:rsid w:val="00ED42B5"/>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D75D5"/>
    <w:rsid w:val="00EE01DB"/>
    <w:rsid w:val="00EE039E"/>
    <w:rsid w:val="00EE0439"/>
    <w:rsid w:val="00EE0619"/>
    <w:rsid w:val="00EE0A56"/>
    <w:rsid w:val="00EE0AD6"/>
    <w:rsid w:val="00EE0BAC"/>
    <w:rsid w:val="00EE1B6B"/>
    <w:rsid w:val="00EE2DDA"/>
    <w:rsid w:val="00EE2E1D"/>
    <w:rsid w:val="00EE300F"/>
    <w:rsid w:val="00EE3199"/>
    <w:rsid w:val="00EE3B57"/>
    <w:rsid w:val="00EE4103"/>
    <w:rsid w:val="00EE42C3"/>
    <w:rsid w:val="00EE487A"/>
    <w:rsid w:val="00EE4DB1"/>
    <w:rsid w:val="00EE5AC7"/>
    <w:rsid w:val="00EE6137"/>
    <w:rsid w:val="00EE674B"/>
    <w:rsid w:val="00EE71C8"/>
    <w:rsid w:val="00EE737F"/>
    <w:rsid w:val="00EE767E"/>
    <w:rsid w:val="00EE76ED"/>
    <w:rsid w:val="00EE7B24"/>
    <w:rsid w:val="00EF0013"/>
    <w:rsid w:val="00EF0BC9"/>
    <w:rsid w:val="00EF11D4"/>
    <w:rsid w:val="00EF1526"/>
    <w:rsid w:val="00EF2092"/>
    <w:rsid w:val="00EF2225"/>
    <w:rsid w:val="00EF29FE"/>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3D0"/>
    <w:rsid w:val="00EF74A5"/>
    <w:rsid w:val="00F0039A"/>
    <w:rsid w:val="00F0074D"/>
    <w:rsid w:val="00F008B6"/>
    <w:rsid w:val="00F0093A"/>
    <w:rsid w:val="00F00CD6"/>
    <w:rsid w:val="00F00F8C"/>
    <w:rsid w:val="00F01233"/>
    <w:rsid w:val="00F017E4"/>
    <w:rsid w:val="00F01F50"/>
    <w:rsid w:val="00F02370"/>
    <w:rsid w:val="00F02871"/>
    <w:rsid w:val="00F029BA"/>
    <w:rsid w:val="00F02C83"/>
    <w:rsid w:val="00F02F45"/>
    <w:rsid w:val="00F0301F"/>
    <w:rsid w:val="00F032DC"/>
    <w:rsid w:val="00F03693"/>
    <w:rsid w:val="00F03DFF"/>
    <w:rsid w:val="00F03E8D"/>
    <w:rsid w:val="00F0422A"/>
    <w:rsid w:val="00F049F3"/>
    <w:rsid w:val="00F04AF2"/>
    <w:rsid w:val="00F04E85"/>
    <w:rsid w:val="00F04EE0"/>
    <w:rsid w:val="00F05C75"/>
    <w:rsid w:val="00F066D7"/>
    <w:rsid w:val="00F0681C"/>
    <w:rsid w:val="00F06B37"/>
    <w:rsid w:val="00F06DF9"/>
    <w:rsid w:val="00F06F97"/>
    <w:rsid w:val="00F07174"/>
    <w:rsid w:val="00F0728D"/>
    <w:rsid w:val="00F07843"/>
    <w:rsid w:val="00F07F57"/>
    <w:rsid w:val="00F10131"/>
    <w:rsid w:val="00F107B8"/>
    <w:rsid w:val="00F10BFD"/>
    <w:rsid w:val="00F10D66"/>
    <w:rsid w:val="00F112BC"/>
    <w:rsid w:val="00F11EC8"/>
    <w:rsid w:val="00F12084"/>
    <w:rsid w:val="00F12702"/>
    <w:rsid w:val="00F128CE"/>
    <w:rsid w:val="00F12C6F"/>
    <w:rsid w:val="00F1478E"/>
    <w:rsid w:val="00F14A28"/>
    <w:rsid w:val="00F14A98"/>
    <w:rsid w:val="00F14C76"/>
    <w:rsid w:val="00F14CBB"/>
    <w:rsid w:val="00F15510"/>
    <w:rsid w:val="00F15596"/>
    <w:rsid w:val="00F15AD5"/>
    <w:rsid w:val="00F15F0F"/>
    <w:rsid w:val="00F161E1"/>
    <w:rsid w:val="00F1621C"/>
    <w:rsid w:val="00F17518"/>
    <w:rsid w:val="00F20241"/>
    <w:rsid w:val="00F20D01"/>
    <w:rsid w:val="00F21296"/>
    <w:rsid w:val="00F21486"/>
    <w:rsid w:val="00F217FD"/>
    <w:rsid w:val="00F21906"/>
    <w:rsid w:val="00F2193C"/>
    <w:rsid w:val="00F21E9D"/>
    <w:rsid w:val="00F22117"/>
    <w:rsid w:val="00F221BC"/>
    <w:rsid w:val="00F2235F"/>
    <w:rsid w:val="00F22726"/>
    <w:rsid w:val="00F228E8"/>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4855"/>
    <w:rsid w:val="00F35D62"/>
    <w:rsid w:val="00F3664C"/>
    <w:rsid w:val="00F36826"/>
    <w:rsid w:val="00F36AF3"/>
    <w:rsid w:val="00F37149"/>
    <w:rsid w:val="00F3745C"/>
    <w:rsid w:val="00F3748B"/>
    <w:rsid w:val="00F37B45"/>
    <w:rsid w:val="00F400D4"/>
    <w:rsid w:val="00F40220"/>
    <w:rsid w:val="00F406F8"/>
    <w:rsid w:val="00F4077C"/>
    <w:rsid w:val="00F40D4A"/>
    <w:rsid w:val="00F40F3E"/>
    <w:rsid w:val="00F416A5"/>
    <w:rsid w:val="00F41FAA"/>
    <w:rsid w:val="00F42366"/>
    <w:rsid w:val="00F42C90"/>
    <w:rsid w:val="00F43508"/>
    <w:rsid w:val="00F43679"/>
    <w:rsid w:val="00F43826"/>
    <w:rsid w:val="00F43E2B"/>
    <w:rsid w:val="00F43F8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2F6"/>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344"/>
    <w:rsid w:val="00F55C12"/>
    <w:rsid w:val="00F55EC6"/>
    <w:rsid w:val="00F55FF7"/>
    <w:rsid w:val="00F56443"/>
    <w:rsid w:val="00F56754"/>
    <w:rsid w:val="00F56AF3"/>
    <w:rsid w:val="00F56D12"/>
    <w:rsid w:val="00F56DD4"/>
    <w:rsid w:val="00F56DFE"/>
    <w:rsid w:val="00F571F2"/>
    <w:rsid w:val="00F574A1"/>
    <w:rsid w:val="00F57B24"/>
    <w:rsid w:val="00F602AB"/>
    <w:rsid w:val="00F603CA"/>
    <w:rsid w:val="00F60903"/>
    <w:rsid w:val="00F60E89"/>
    <w:rsid w:val="00F6131C"/>
    <w:rsid w:val="00F61EE4"/>
    <w:rsid w:val="00F6318B"/>
    <w:rsid w:val="00F6377A"/>
    <w:rsid w:val="00F642F0"/>
    <w:rsid w:val="00F64703"/>
    <w:rsid w:val="00F647C9"/>
    <w:rsid w:val="00F64B4C"/>
    <w:rsid w:val="00F64E64"/>
    <w:rsid w:val="00F65285"/>
    <w:rsid w:val="00F6615C"/>
    <w:rsid w:val="00F668DF"/>
    <w:rsid w:val="00F66B2E"/>
    <w:rsid w:val="00F67A7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4231"/>
    <w:rsid w:val="00F7437E"/>
    <w:rsid w:val="00F746AF"/>
    <w:rsid w:val="00F746FB"/>
    <w:rsid w:val="00F748FD"/>
    <w:rsid w:val="00F74B88"/>
    <w:rsid w:val="00F74F5C"/>
    <w:rsid w:val="00F751FD"/>
    <w:rsid w:val="00F75371"/>
    <w:rsid w:val="00F75D5E"/>
    <w:rsid w:val="00F75F63"/>
    <w:rsid w:val="00F7606B"/>
    <w:rsid w:val="00F7637D"/>
    <w:rsid w:val="00F763F3"/>
    <w:rsid w:val="00F7691F"/>
    <w:rsid w:val="00F772D0"/>
    <w:rsid w:val="00F77630"/>
    <w:rsid w:val="00F779BA"/>
    <w:rsid w:val="00F77A1B"/>
    <w:rsid w:val="00F807C9"/>
    <w:rsid w:val="00F80B9E"/>
    <w:rsid w:val="00F80F70"/>
    <w:rsid w:val="00F813BA"/>
    <w:rsid w:val="00F81E30"/>
    <w:rsid w:val="00F821B2"/>
    <w:rsid w:val="00F82630"/>
    <w:rsid w:val="00F82C75"/>
    <w:rsid w:val="00F8347D"/>
    <w:rsid w:val="00F838EB"/>
    <w:rsid w:val="00F83A8A"/>
    <w:rsid w:val="00F83F45"/>
    <w:rsid w:val="00F83FBE"/>
    <w:rsid w:val="00F84273"/>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030"/>
    <w:rsid w:val="00F93325"/>
    <w:rsid w:val="00F93EE5"/>
    <w:rsid w:val="00F94B6A"/>
    <w:rsid w:val="00F94B93"/>
    <w:rsid w:val="00F958E3"/>
    <w:rsid w:val="00F959DB"/>
    <w:rsid w:val="00F95C16"/>
    <w:rsid w:val="00F95F51"/>
    <w:rsid w:val="00F96290"/>
    <w:rsid w:val="00F968AC"/>
    <w:rsid w:val="00F968C9"/>
    <w:rsid w:val="00F96B30"/>
    <w:rsid w:val="00F96FB5"/>
    <w:rsid w:val="00F975C6"/>
    <w:rsid w:val="00FA04FF"/>
    <w:rsid w:val="00FA106C"/>
    <w:rsid w:val="00FA1C96"/>
    <w:rsid w:val="00FA20B3"/>
    <w:rsid w:val="00FA2148"/>
    <w:rsid w:val="00FA2344"/>
    <w:rsid w:val="00FA2603"/>
    <w:rsid w:val="00FA2A61"/>
    <w:rsid w:val="00FA2A6E"/>
    <w:rsid w:val="00FA2DB9"/>
    <w:rsid w:val="00FA2E58"/>
    <w:rsid w:val="00FA3E1D"/>
    <w:rsid w:val="00FA46C1"/>
    <w:rsid w:val="00FA4B12"/>
    <w:rsid w:val="00FA4DD8"/>
    <w:rsid w:val="00FA4E1E"/>
    <w:rsid w:val="00FA5411"/>
    <w:rsid w:val="00FA54C8"/>
    <w:rsid w:val="00FA618C"/>
    <w:rsid w:val="00FA61D8"/>
    <w:rsid w:val="00FA6B6A"/>
    <w:rsid w:val="00FA6DEA"/>
    <w:rsid w:val="00FA70BE"/>
    <w:rsid w:val="00FA77A5"/>
    <w:rsid w:val="00FA789D"/>
    <w:rsid w:val="00FA7955"/>
    <w:rsid w:val="00FA7E79"/>
    <w:rsid w:val="00FB0C6E"/>
    <w:rsid w:val="00FB125E"/>
    <w:rsid w:val="00FB150D"/>
    <w:rsid w:val="00FB165F"/>
    <w:rsid w:val="00FB1BAA"/>
    <w:rsid w:val="00FB20CD"/>
    <w:rsid w:val="00FB29F6"/>
    <w:rsid w:val="00FB2BA3"/>
    <w:rsid w:val="00FB2FD0"/>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D52"/>
    <w:rsid w:val="00FB6DE2"/>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129"/>
    <w:rsid w:val="00FC37B9"/>
    <w:rsid w:val="00FC38B2"/>
    <w:rsid w:val="00FC3A49"/>
    <w:rsid w:val="00FC4009"/>
    <w:rsid w:val="00FC42D3"/>
    <w:rsid w:val="00FC486B"/>
    <w:rsid w:val="00FC4C85"/>
    <w:rsid w:val="00FC520C"/>
    <w:rsid w:val="00FC54D5"/>
    <w:rsid w:val="00FC5540"/>
    <w:rsid w:val="00FC564A"/>
    <w:rsid w:val="00FC63EA"/>
    <w:rsid w:val="00FC6553"/>
    <w:rsid w:val="00FC6B4A"/>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47A"/>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985"/>
    <w:rsid w:val="00FE199C"/>
    <w:rsid w:val="00FE1BE6"/>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F022D"/>
    <w:rsid w:val="00FF028A"/>
    <w:rsid w:val="00FF03F3"/>
    <w:rsid w:val="00FF0EE5"/>
    <w:rsid w:val="00FF10F0"/>
    <w:rsid w:val="00FF122A"/>
    <w:rsid w:val="00FF1869"/>
    <w:rsid w:val="00FF1D12"/>
    <w:rsid w:val="00FF1FCB"/>
    <w:rsid w:val="00FF2047"/>
    <w:rsid w:val="00FF26F6"/>
    <w:rsid w:val="00FF2B9F"/>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24DF1B45"/>
    <w:rsid w:val="3A9928E6"/>
    <w:rsid w:val="453546C5"/>
    <w:rsid w:val="5AA2268A"/>
    <w:rsid w:val="639B5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99" w:semiHidden="0" w:name="Salutation"/>
    <w:lsdException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1"/>
      <w:szCs w:val="21"/>
      <w:lang w:val="en-US" w:eastAsia="zh-CN" w:bidi="ar-SA"/>
    </w:rPr>
  </w:style>
  <w:style w:type="paragraph" w:styleId="2">
    <w:name w:val="heading 1"/>
    <w:basedOn w:val="1"/>
    <w:next w:val="1"/>
    <w:link w:val="38"/>
    <w:qFormat/>
    <w:uiPriority w:val="99"/>
    <w:pPr>
      <w:keepNext/>
      <w:keepLines/>
      <w:spacing w:before="60" w:after="60" w:line="360" w:lineRule="auto"/>
      <w:jc w:val="center"/>
      <w:outlineLvl w:val="0"/>
    </w:pPr>
    <w:rPr>
      <w:rFonts w:eastAsia="黑体"/>
      <w:b/>
      <w:bCs/>
      <w:kern w:val="44"/>
      <w:sz w:val="28"/>
      <w:szCs w:val="44"/>
    </w:rPr>
  </w:style>
  <w:style w:type="paragraph" w:styleId="3">
    <w:name w:val="heading 2"/>
    <w:basedOn w:val="1"/>
    <w:next w:val="1"/>
    <w:link w:val="39"/>
    <w:qFormat/>
    <w:uiPriority w:val="0"/>
    <w:pPr>
      <w:keepNext/>
      <w:keepLines/>
      <w:spacing w:before="60" w:after="60"/>
      <w:outlineLvl w:val="1"/>
    </w:pPr>
    <w:rPr>
      <w:rFonts w:ascii="Arial" w:hAnsi="Arial"/>
      <w:b/>
      <w:bCs/>
    </w:rPr>
  </w:style>
  <w:style w:type="paragraph" w:styleId="4">
    <w:name w:val="heading 3"/>
    <w:basedOn w:val="1"/>
    <w:next w:val="1"/>
    <w:link w:val="40"/>
    <w:qFormat/>
    <w:uiPriority w:val="9"/>
    <w:pPr>
      <w:keepNext/>
      <w:keepLines/>
      <w:spacing w:before="60" w:after="60"/>
      <w:outlineLvl w:val="2"/>
    </w:pPr>
    <w:rPr>
      <w:b/>
      <w:bCs/>
      <w:szCs w:val="32"/>
    </w:rPr>
  </w:style>
  <w:style w:type="paragraph" w:styleId="5">
    <w:name w:val="heading 4"/>
    <w:basedOn w:val="1"/>
    <w:next w:val="1"/>
    <w:link w:val="41"/>
    <w:qFormat/>
    <w:uiPriority w:val="9"/>
    <w:pPr>
      <w:keepNext/>
      <w:keepLines/>
      <w:spacing w:before="60" w:after="60"/>
      <w:outlineLvl w:val="3"/>
    </w:pPr>
    <w:rPr>
      <w:rFonts w:ascii="Cambria" w:hAnsi="Cambria"/>
      <w:b/>
      <w:bCs/>
      <w:szCs w:val="28"/>
    </w:rPr>
  </w:style>
  <w:style w:type="paragraph" w:styleId="6">
    <w:name w:val="heading 5"/>
    <w:basedOn w:val="1"/>
    <w:next w:val="1"/>
    <w:link w:val="42"/>
    <w:qFormat/>
    <w:uiPriority w:val="9"/>
    <w:pPr>
      <w:keepNext/>
      <w:keepLines/>
      <w:spacing w:before="60" w:after="60"/>
      <w:outlineLvl w:val="4"/>
    </w:pPr>
    <w:rPr>
      <w:b/>
      <w:bCs/>
      <w:szCs w:val="28"/>
    </w:rPr>
  </w:style>
  <w:style w:type="paragraph" w:styleId="7">
    <w:name w:val="heading 6"/>
    <w:basedOn w:val="1"/>
    <w:next w:val="1"/>
    <w:link w:val="67"/>
    <w:semiHidden/>
    <w:unhideWhenUsed/>
    <w:qFormat/>
    <w:uiPriority w:val="9"/>
    <w:pPr>
      <w:keepNext/>
      <w:keepLines/>
      <w:spacing w:before="60" w:after="60"/>
      <w:outlineLvl w:val="5"/>
    </w:pPr>
    <w:rPr>
      <w:rFonts w:asciiTheme="majorHAnsi" w:hAnsiTheme="majorHAnsi" w:cstheme="majorBidi"/>
      <w:b/>
      <w:bCs/>
    </w:rPr>
  </w:style>
  <w:style w:type="character" w:default="1" w:styleId="32">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50"/>
    <w:unhideWhenUsed/>
    <w:uiPriority w:val="99"/>
    <w:rPr>
      <w:rFonts w:ascii="Calibri" w:hAnsi="Calibri"/>
      <w:b/>
      <w:bCs/>
      <w:szCs w:val="22"/>
    </w:rPr>
  </w:style>
  <w:style w:type="paragraph" w:styleId="9">
    <w:name w:val="annotation text"/>
    <w:basedOn w:val="1"/>
    <w:link w:val="44"/>
    <w:qFormat/>
    <w:uiPriority w:val="0"/>
    <w:rPr>
      <w:rFonts w:ascii="Times New Roman" w:hAnsi="Times New Roman"/>
    </w:r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Note Heading"/>
    <w:basedOn w:val="1"/>
    <w:next w:val="1"/>
    <w:link w:val="58"/>
    <w:qFormat/>
    <w:uiPriority w:val="99"/>
    <w:pPr>
      <w:jc w:val="center"/>
    </w:pPr>
    <w:rPr>
      <w:rFonts w:ascii="Times New Roman" w:hAnsi="Times New Roman"/>
    </w:rPr>
  </w:style>
  <w:style w:type="paragraph" w:styleId="12">
    <w:name w:val="Document Map"/>
    <w:basedOn w:val="1"/>
    <w:link w:val="63"/>
    <w:semiHidden/>
    <w:unhideWhenUsed/>
    <w:qFormat/>
    <w:uiPriority w:val="99"/>
    <w:rPr>
      <w:sz w:val="18"/>
      <w:szCs w:val="18"/>
    </w:rPr>
  </w:style>
  <w:style w:type="paragraph" w:styleId="13">
    <w:name w:val="toa heading"/>
    <w:basedOn w:val="1"/>
    <w:next w:val="1"/>
    <w:semiHidden/>
    <w:qFormat/>
    <w:uiPriority w:val="0"/>
    <w:pPr>
      <w:spacing w:before="120"/>
    </w:pPr>
    <w:rPr>
      <w:rFonts w:ascii="Arial" w:hAnsi="Arial"/>
      <w:b/>
      <w:bCs/>
    </w:rPr>
  </w:style>
  <w:style w:type="paragraph" w:styleId="14">
    <w:name w:val="Salutation"/>
    <w:basedOn w:val="1"/>
    <w:next w:val="1"/>
    <w:link w:val="46"/>
    <w:uiPriority w:val="99"/>
    <w:rPr>
      <w:rFonts w:ascii="Times New Roman" w:hAnsi="Times New Roman"/>
    </w:rPr>
  </w:style>
  <w:style w:type="paragraph" w:styleId="15">
    <w:name w:val="Body Text"/>
    <w:basedOn w:val="1"/>
    <w:link w:val="55"/>
    <w:uiPriority w:val="99"/>
    <w:pPr>
      <w:spacing w:after="120"/>
    </w:pPr>
    <w:rPr>
      <w:rFonts w:ascii="Times New Roman" w:hAnsi="Times New Roman"/>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unhideWhenUsed/>
    <w:qFormat/>
    <w:uiPriority w:val="39"/>
    <w:pPr>
      <w:spacing w:after="100" w:line="276" w:lineRule="auto"/>
      <w:ind w:left="440"/>
    </w:pPr>
    <w:rPr>
      <w:sz w:val="22"/>
      <w:szCs w:val="22"/>
    </w:rPr>
  </w:style>
  <w:style w:type="paragraph" w:styleId="18">
    <w:name w:val="Plain Text"/>
    <w:basedOn w:val="1"/>
    <w:link w:val="53"/>
    <w:uiPriority w:val="0"/>
    <w:rPr>
      <w:rFonts w:hAnsi="Courier New"/>
      <w:szCs w:val="20"/>
    </w:rPr>
  </w:style>
  <w:style w:type="paragraph" w:styleId="19">
    <w:name w:val="toc 8"/>
    <w:basedOn w:val="1"/>
    <w:next w:val="1"/>
    <w:unhideWhenUsed/>
    <w:uiPriority w:val="39"/>
    <w:pPr>
      <w:ind w:left="2940" w:leftChars="1400"/>
    </w:pPr>
    <w:rPr>
      <w:rFonts w:asciiTheme="minorHAnsi" w:hAnsiTheme="minorHAnsi" w:eastAsiaTheme="minorEastAsia" w:cstheme="minorBidi"/>
      <w:szCs w:val="22"/>
    </w:rPr>
  </w:style>
  <w:style w:type="paragraph" w:styleId="20">
    <w:name w:val="Date"/>
    <w:basedOn w:val="1"/>
    <w:next w:val="1"/>
    <w:link w:val="57"/>
    <w:uiPriority w:val="99"/>
    <w:pPr>
      <w:ind w:left="100" w:leftChars="2500"/>
    </w:pPr>
    <w:rPr>
      <w:rFonts w:ascii="Times New Roman" w:hAnsi="Times New Roman"/>
    </w:rPr>
  </w:style>
  <w:style w:type="paragraph" w:styleId="21">
    <w:name w:val="endnote text"/>
    <w:basedOn w:val="1"/>
    <w:link w:val="68"/>
    <w:semiHidden/>
    <w:unhideWhenUsed/>
    <w:qFormat/>
    <w:uiPriority w:val="99"/>
    <w:pPr>
      <w:snapToGrid w:val="0"/>
    </w:pPr>
  </w:style>
  <w:style w:type="paragraph" w:styleId="22">
    <w:name w:val="Balloon Text"/>
    <w:basedOn w:val="1"/>
    <w:link w:val="45"/>
    <w:unhideWhenUsed/>
    <w:uiPriority w:val="99"/>
    <w:rPr>
      <w:sz w:val="18"/>
      <w:szCs w:val="18"/>
    </w:rPr>
  </w:style>
  <w:style w:type="paragraph" w:styleId="23">
    <w:name w:val="footer"/>
    <w:basedOn w:val="1"/>
    <w:link w:val="52"/>
    <w:unhideWhenUsed/>
    <w:uiPriority w:val="99"/>
    <w:pPr>
      <w:tabs>
        <w:tab w:val="center" w:pos="4153"/>
        <w:tab w:val="right" w:pos="8306"/>
      </w:tabs>
      <w:snapToGrid w:val="0"/>
    </w:pPr>
    <w:rPr>
      <w:sz w:val="18"/>
      <w:szCs w:val="18"/>
    </w:rPr>
  </w:style>
  <w:style w:type="paragraph" w:styleId="24">
    <w:name w:val="header"/>
    <w:basedOn w:val="1"/>
    <w:link w:val="51"/>
    <w:unhideWhenUsed/>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rFonts w:ascii="Times New Roman" w:hAnsi="Times New Roman"/>
    </w:rPr>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8">
    <w:name w:val="toc 2"/>
    <w:basedOn w:val="1"/>
    <w:next w:val="1"/>
    <w:qFormat/>
    <w:uiPriority w:val="39"/>
    <w:pPr>
      <w:ind w:left="420" w:leftChars="200"/>
    </w:pPr>
    <w:rPr>
      <w:rFonts w:ascii="Times New Roman" w:hAnsi="Times New Roman"/>
    </w:r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Normal (Web)"/>
    <w:basedOn w:val="1"/>
    <w:qFormat/>
    <w:uiPriority w:val="99"/>
    <w:pPr>
      <w:spacing w:before="100" w:beforeAutospacing="1" w:after="100" w:afterAutospacing="1"/>
    </w:pPr>
    <w:rPr>
      <w:sz w:val="24"/>
      <w:szCs w:val="24"/>
    </w:rPr>
  </w:style>
  <w:style w:type="paragraph" w:styleId="31">
    <w:name w:val="Title"/>
    <w:basedOn w:val="1"/>
    <w:next w:val="1"/>
    <w:link w:val="65"/>
    <w:qFormat/>
    <w:uiPriority w:val="10"/>
    <w:pPr>
      <w:spacing w:before="240" w:after="60"/>
      <w:jc w:val="center"/>
      <w:outlineLvl w:val="0"/>
    </w:pPr>
    <w:rPr>
      <w:rFonts w:asciiTheme="majorHAnsi" w:hAnsiTheme="majorHAnsi" w:cstheme="majorBidi"/>
      <w:b/>
      <w:bCs/>
      <w:sz w:val="32"/>
      <w:szCs w:val="32"/>
    </w:rPr>
  </w:style>
  <w:style w:type="character" w:styleId="33">
    <w:name w:val="endnote reference"/>
    <w:basedOn w:val="32"/>
    <w:semiHidden/>
    <w:unhideWhenUsed/>
    <w:uiPriority w:val="99"/>
    <w:rPr>
      <w:vertAlign w:val="superscript"/>
    </w:rPr>
  </w:style>
  <w:style w:type="character" w:styleId="34">
    <w:name w:val="Hyperlink"/>
    <w:basedOn w:val="32"/>
    <w:qFormat/>
    <w:uiPriority w:val="99"/>
    <w:rPr>
      <w:rFonts w:cs="Times New Roman"/>
      <w:color w:val="0000FF"/>
      <w:u w:val="single"/>
    </w:rPr>
  </w:style>
  <w:style w:type="character" w:styleId="35">
    <w:name w:val="annotation reference"/>
    <w:basedOn w:val="32"/>
    <w:qFormat/>
    <w:uiPriority w:val="99"/>
    <w:rPr>
      <w:rFonts w:eastAsia="宋体" w:cs="Times New Roman"/>
      <w:kern w:val="2"/>
      <w:sz w:val="21"/>
      <w:szCs w:val="21"/>
      <w:lang w:val="en-US" w:eastAsia="zh-CN" w:bidi="ar-SA"/>
    </w:rPr>
  </w:style>
  <w:style w:type="table" w:styleId="37">
    <w:name w:val="Table Grid"/>
    <w:basedOn w:val="3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1 Char"/>
    <w:basedOn w:val="32"/>
    <w:link w:val="2"/>
    <w:qFormat/>
    <w:uiPriority w:val="99"/>
    <w:rPr>
      <w:rFonts w:eastAsia="黑体"/>
      <w:b/>
      <w:bCs/>
      <w:kern w:val="44"/>
      <w:sz w:val="28"/>
      <w:szCs w:val="44"/>
    </w:rPr>
  </w:style>
  <w:style w:type="character" w:customStyle="1" w:styleId="39">
    <w:name w:val="标题 2 Char"/>
    <w:basedOn w:val="32"/>
    <w:link w:val="3"/>
    <w:qFormat/>
    <w:uiPriority w:val="0"/>
    <w:rPr>
      <w:rFonts w:ascii="Arial" w:hAnsi="Arial"/>
      <w:b/>
      <w:bCs/>
      <w:kern w:val="2"/>
      <w:sz w:val="21"/>
      <w:szCs w:val="21"/>
    </w:rPr>
  </w:style>
  <w:style w:type="character" w:customStyle="1" w:styleId="40">
    <w:name w:val="标题 3 Char"/>
    <w:basedOn w:val="32"/>
    <w:link w:val="4"/>
    <w:qFormat/>
    <w:uiPriority w:val="9"/>
    <w:rPr>
      <w:b/>
      <w:bCs/>
      <w:kern w:val="2"/>
      <w:sz w:val="21"/>
      <w:szCs w:val="32"/>
    </w:rPr>
  </w:style>
  <w:style w:type="character" w:customStyle="1" w:styleId="41">
    <w:name w:val="标题 4 Char"/>
    <w:basedOn w:val="32"/>
    <w:link w:val="5"/>
    <w:qFormat/>
    <w:uiPriority w:val="9"/>
    <w:rPr>
      <w:rFonts w:ascii="Cambria" w:hAnsi="Cambria"/>
      <w:b/>
      <w:bCs/>
      <w:kern w:val="2"/>
      <w:sz w:val="21"/>
      <w:szCs w:val="28"/>
    </w:rPr>
  </w:style>
  <w:style w:type="character" w:customStyle="1" w:styleId="42">
    <w:name w:val="标题 5 Char"/>
    <w:basedOn w:val="32"/>
    <w:link w:val="6"/>
    <w:qFormat/>
    <w:uiPriority w:val="9"/>
    <w:rPr>
      <w:b/>
      <w:bCs/>
      <w:kern w:val="2"/>
      <w:sz w:val="21"/>
      <w:szCs w:val="28"/>
    </w:rPr>
  </w:style>
  <w:style w:type="paragraph" w:customStyle="1" w:styleId="43">
    <w:name w:val="TOC Heading"/>
    <w:basedOn w:val="2"/>
    <w:next w:val="1"/>
    <w:qFormat/>
    <w:uiPriority w:val="39"/>
    <w:pPr>
      <w:spacing w:before="480" w:after="0" w:line="276" w:lineRule="auto"/>
      <w:outlineLvl w:val="9"/>
    </w:pPr>
    <w:rPr>
      <w:rFonts w:ascii="Cambria" w:hAnsi="Cambria" w:eastAsia="宋体"/>
      <w:color w:val="365F91"/>
      <w:kern w:val="0"/>
      <w:szCs w:val="28"/>
    </w:rPr>
  </w:style>
  <w:style w:type="character" w:customStyle="1" w:styleId="44">
    <w:name w:val="批注文字 Char"/>
    <w:basedOn w:val="32"/>
    <w:link w:val="9"/>
    <w:qFormat/>
    <w:uiPriority w:val="0"/>
    <w:rPr>
      <w:rFonts w:ascii="Times New Roman" w:hAnsi="Times New Roman" w:eastAsia="宋体" w:cs="Times New Roman"/>
      <w:szCs w:val="21"/>
    </w:rPr>
  </w:style>
  <w:style w:type="character" w:customStyle="1" w:styleId="45">
    <w:name w:val="批注框文本 Char"/>
    <w:basedOn w:val="32"/>
    <w:link w:val="22"/>
    <w:uiPriority w:val="99"/>
    <w:rPr>
      <w:rFonts w:ascii="Calibri" w:hAnsi="Calibri" w:eastAsia="宋体" w:cs="Times New Roman"/>
      <w:sz w:val="18"/>
      <w:szCs w:val="18"/>
    </w:rPr>
  </w:style>
  <w:style w:type="character" w:customStyle="1" w:styleId="46">
    <w:name w:val="称呼 Char"/>
    <w:basedOn w:val="32"/>
    <w:link w:val="14"/>
    <w:uiPriority w:val="99"/>
    <w:rPr>
      <w:rFonts w:ascii="Times New Roman" w:hAnsi="Times New Roman" w:eastAsia="宋体" w:cs="Times New Roman"/>
      <w:szCs w:val="21"/>
    </w:rPr>
  </w:style>
  <w:style w:type="character" w:customStyle="1" w:styleId="47">
    <w:name w:val="notnullcss1"/>
    <w:basedOn w:val="32"/>
    <w:uiPriority w:val="99"/>
    <w:rPr>
      <w:rFonts w:eastAsia="宋体" w:cs="Times New Roman"/>
      <w:color w:val="FF0000"/>
      <w:kern w:val="2"/>
      <w:sz w:val="24"/>
      <w:szCs w:val="24"/>
      <w:lang w:val="en-US" w:eastAsia="zh-CN" w:bidi="ar-SA"/>
    </w:rPr>
  </w:style>
  <w:style w:type="paragraph" w:customStyle="1" w:styleId="48">
    <w:name w:val="xl61"/>
    <w:basedOn w:val="1"/>
    <w:uiPriority w:val="99"/>
    <w:pPr>
      <w:spacing w:before="100" w:after="100"/>
      <w:jc w:val="right"/>
    </w:pPr>
    <w:rPr>
      <w:rFonts w:ascii="Arial Unicode MS" w:hAnsi="Times New Roman" w:eastAsia="Arial Unicode MS"/>
      <w:sz w:val="18"/>
      <w:szCs w:val="18"/>
    </w:rPr>
  </w:style>
  <w:style w:type="paragraph" w:styleId="49">
    <w:name w:val="List Paragraph"/>
    <w:basedOn w:val="1"/>
    <w:qFormat/>
    <w:uiPriority w:val="34"/>
    <w:pPr>
      <w:ind w:firstLine="420" w:firstLineChars="200"/>
    </w:pPr>
    <w:rPr>
      <w:szCs w:val="22"/>
    </w:rPr>
  </w:style>
  <w:style w:type="character" w:customStyle="1" w:styleId="50">
    <w:name w:val="批注主题 Char"/>
    <w:basedOn w:val="44"/>
    <w:link w:val="8"/>
    <w:uiPriority w:val="99"/>
    <w:rPr>
      <w:rFonts w:ascii="Calibri" w:hAnsi="Calibri" w:eastAsia="宋体" w:cs="Times New Roman"/>
      <w:b/>
      <w:bCs/>
      <w:szCs w:val="21"/>
    </w:rPr>
  </w:style>
  <w:style w:type="character" w:customStyle="1" w:styleId="51">
    <w:name w:val="页眉 Char"/>
    <w:basedOn w:val="32"/>
    <w:link w:val="24"/>
    <w:uiPriority w:val="0"/>
    <w:rPr>
      <w:rFonts w:ascii="Calibri" w:hAnsi="Calibri" w:eastAsia="宋体" w:cs="Times New Roman"/>
      <w:sz w:val="18"/>
      <w:szCs w:val="18"/>
    </w:rPr>
  </w:style>
  <w:style w:type="character" w:customStyle="1" w:styleId="52">
    <w:name w:val="页脚 Char"/>
    <w:basedOn w:val="32"/>
    <w:link w:val="23"/>
    <w:uiPriority w:val="99"/>
    <w:rPr>
      <w:rFonts w:ascii="Calibri" w:hAnsi="Calibri" w:eastAsia="宋体" w:cs="Times New Roman"/>
      <w:sz w:val="18"/>
      <w:szCs w:val="18"/>
    </w:rPr>
  </w:style>
  <w:style w:type="character" w:customStyle="1" w:styleId="53">
    <w:name w:val="纯文本 Char"/>
    <w:basedOn w:val="32"/>
    <w:link w:val="18"/>
    <w:uiPriority w:val="0"/>
    <w:rPr>
      <w:rFonts w:ascii="宋体" w:hAnsi="Courier New" w:eastAsia="宋体" w:cs="Times New Roman"/>
      <w:szCs w:val="20"/>
    </w:rPr>
  </w:style>
  <w:style w:type="character" w:customStyle="1" w:styleId="54">
    <w:name w:val="headline-content2"/>
    <w:basedOn w:val="32"/>
    <w:uiPriority w:val="0"/>
    <w:rPr>
      <w:rFonts w:eastAsia="宋体" w:cs="Times New Roman"/>
      <w:kern w:val="2"/>
      <w:sz w:val="24"/>
      <w:szCs w:val="24"/>
      <w:lang w:val="en-US" w:eastAsia="zh-CN" w:bidi="ar-SA"/>
    </w:rPr>
  </w:style>
  <w:style w:type="character" w:customStyle="1" w:styleId="55">
    <w:name w:val="正文文本 Char"/>
    <w:basedOn w:val="32"/>
    <w:link w:val="15"/>
    <w:qFormat/>
    <w:uiPriority w:val="99"/>
    <w:rPr>
      <w:rFonts w:ascii="Times New Roman" w:hAnsi="Times New Roman" w:eastAsia="宋体" w:cs="Times New Roman"/>
      <w:szCs w:val="21"/>
    </w:rPr>
  </w:style>
  <w:style w:type="paragraph" w:customStyle="1" w:styleId="56">
    <w:name w:val="write2"/>
    <w:basedOn w:val="1"/>
    <w:uiPriority w:val="99"/>
    <w:pPr>
      <w:tabs>
        <w:tab w:val="left" w:pos="709"/>
      </w:tabs>
      <w:overflowPunct w:val="0"/>
      <w:autoSpaceDE w:val="0"/>
      <w:autoSpaceDN w:val="0"/>
      <w:adjustRightInd w:val="0"/>
      <w:textAlignment w:val="baseline"/>
    </w:pPr>
    <w:rPr>
      <w:rFonts w:ascii="Helvetica-Narrow" w:hAnsi="Helvetica-Narrow"/>
      <w:szCs w:val="24"/>
      <w:lang w:val="en-AU"/>
    </w:rPr>
  </w:style>
  <w:style w:type="character" w:customStyle="1" w:styleId="57">
    <w:name w:val="日期 Char"/>
    <w:basedOn w:val="32"/>
    <w:link w:val="20"/>
    <w:qFormat/>
    <w:uiPriority w:val="99"/>
    <w:rPr>
      <w:rFonts w:ascii="Times New Roman" w:hAnsi="Times New Roman" w:eastAsia="宋体" w:cs="Times New Roman"/>
      <w:szCs w:val="21"/>
    </w:rPr>
  </w:style>
  <w:style w:type="character" w:customStyle="1" w:styleId="58">
    <w:name w:val="注释标题 Char"/>
    <w:basedOn w:val="32"/>
    <w:link w:val="11"/>
    <w:qFormat/>
    <w:uiPriority w:val="99"/>
    <w:rPr>
      <w:rFonts w:ascii="Times New Roman" w:hAnsi="Times New Roman" w:eastAsia="宋体" w:cs="Times New Roman"/>
      <w:szCs w:val="21"/>
    </w:rPr>
  </w:style>
  <w:style w:type="paragraph" w:customStyle="1" w:styleId="59">
    <w:name w:val="标题5"/>
    <w:basedOn w:val="1"/>
    <w:qFormat/>
    <w:uiPriority w:val="0"/>
    <w:pPr>
      <w:keepNext/>
      <w:keepLines/>
      <w:spacing w:before="60" w:after="60"/>
      <w:ind w:hanging="420" w:hangingChars="200"/>
      <w:outlineLvl w:val="4"/>
    </w:pPr>
    <w:rPr>
      <w:b/>
      <w:bCs/>
    </w:rPr>
  </w:style>
  <w:style w:type="paragraph" w:customStyle="1" w:styleId="60">
    <w:name w:val="Revision"/>
    <w:hidden/>
    <w:semiHidden/>
    <w:qFormat/>
    <w:uiPriority w:val="99"/>
    <w:rPr>
      <w:rFonts w:ascii="Calibri" w:hAnsi="Calibri" w:eastAsia="宋体" w:cs="Times New Roman"/>
      <w:kern w:val="2"/>
      <w:sz w:val="21"/>
      <w:szCs w:val="22"/>
      <w:lang w:val="en-US" w:eastAsia="zh-CN" w:bidi="ar-SA"/>
    </w:rPr>
  </w:style>
  <w:style w:type="character" w:customStyle="1" w:styleId="61">
    <w:name w:val="正文的样式 Char"/>
    <w:basedOn w:val="32"/>
    <w:link w:val="62"/>
    <w:uiPriority w:val="0"/>
    <w:rPr>
      <w:kern w:val="2"/>
      <w:sz w:val="21"/>
      <w:szCs w:val="24"/>
    </w:rPr>
  </w:style>
  <w:style w:type="paragraph" w:customStyle="1" w:styleId="62">
    <w:name w:val="正文的样式"/>
    <w:basedOn w:val="1"/>
    <w:link w:val="61"/>
    <w:qFormat/>
    <w:uiPriority w:val="0"/>
    <w:pPr>
      <w:spacing w:before="100" w:after="100"/>
    </w:pPr>
    <w:rPr>
      <w:szCs w:val="24"/>
    </w:rPr>
  </w:style>
  <w:style w:type="character" w:customStyle="1" w:styleId="63">
    <w:name w:val="文档结构图 Char"/>
    <w:basedOn w:val="32"/>
    <w:link w:val="12"/>
    <w:semiHidden/>
    <w:uiPriority w:val="99"/>
    <w:rPr>
      <w:rFonts w:ascii="宋体"/>
      <w:kern w:val="2"/>
      <w:sz w:val="18"/>
      <w:szCs w:val="18"/>
    </w:rPr>
  </w:style>
  <w:style w:type="character" w:styleId="64">
    <w:name w:val="Placeholder Text"/>
    <w:basedOn w:val="32"/>
    <w:semiHidden/>
    <w:uiPriority w:val="99"/>
    <w:rPr>
      <w:color w:val="auto"/>
    </w:rPr>
  </w:style>
  <w:style w:type="character" w:customStyle="1" w:styleId="65">
    <w:name w:val="标题 Char"/>
    <w:basedOn w:val="32"/>
    <w:link w:val="31"/>
    <w:uiPriority w:val="10"/>
    <w:rPr>
      <w:rFonts w:asciiTheme="majorHAnsi" w:hAnsiTheme="majorHAnsi" w:cstheme="majorBidi"/>
      <w:b/>
      <w:bCs/>
      <w:kern w:val="2"/>
      <w:sz w:val="32"/>
      <w:szCs w:val="32"/>
    </w:rPr>
  </w:style>
  <w:style w:type="paragraph" w:styleId="6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7">
    <w:name w:val="标题 6 Char"/>
    <w:basedOn w:val="32"/>
    <w:link w:val="7"/>
    <w:semiHidden/>
    <w:uiPriority w:val="9"/>
    <w:rPr>
      <w:rFonts w:asciiTheme="majorHAnsi" w:hAnsiTheme="majorHAnsi" w:cstheme="majorBidi"/>
      <w:b/>
      <w:bCs/>
      <w:sz w:val="21"/>
      <w:szCs w:val="24"/>
    </w:rPr>
  </w:style>
  <w:style w:type="character" w:customStyle="1" w:styleId="68">
    <w:name w:val="尾注文本 Char"/>
    <w:basedOn w:val="32"/>
    <w:link w:val="21"/>
    <w:semiHidden/>
    <w:uiPriority w:val="99"/>
    <w:rPr>
      <w:rFonts w:ascii="宋体" w:hAnsi="宋体" w:cs="宋体"/>
      <w:sz w:val="21"/>
      <w:szCs w:val="24"/>
    </w:rPr>
  </w:style>
  <w:style w:type="character" w:customStyle="1" w:styleId="69">
    <w:name w:val="批注主题 Char1"/>
    <w:basedOn w:val="44"/>
    <w:semiHidden/>
    <w:qFormat/>
    <w:uiPriority w:val="99"/>
    <w:rPr>
      <w:rFonts w:ascii="Times New Roman" w:hAnsi="Times New Roman" w:eastAsia="宋体" w:cs="Times New Roman"/>
      <w:b/>
      <w:bCs/>
      <w:szCs w:val="21"/>
    </w:rPr>
  </w:style>
  <w:style w:type="paragraph" w:customStyle="1" w:styleId="70">
    <w:name w:val="标题  3"/>
    <w:basedOn w:val="1"/>
    <w:next w:val="1"/>
    <w:link w:val="71"/>
    <w:qFormat/>
    <w:uiPriority w:val="0"/>
    <w:pPr>
      <w:keepNext/>
      <w:keepLines/>
      <w:spacing w:before="100" w:beforeAutospacing="1" w:after="100" w:afterAutospacing="1" w:line="415" w:lineRule="auto"/>
    </w:pPr>
    <w:rPr>
      <w:rFonts w:ascii="Times New Roman" w:hAnsi="Times New Roman"/>
      <w:b/>
      <w:szCs w:val="24"/>
    </w:rPr>
  </w:style>
  <w:style w:type="character" w:customStyle="1" w:styleId="71">
    <w:name w:val="标题  3 Char"/>
    <w:basedOn w:val="32"/>
    <w:link w:val="70"/>
    <w:qFormat/>
    <w:uiPriority w:val="0"/>
    <w:rPr>
      <w:rFonts w:ascii="Times New Roman" w:hAnsi="Times New Roman"/>
      <w:b/>
      <w:kern w:val="2"/>
      <w:sz w:val="21"/>
      <w:szCs w:val="24"/>
    </w:rPr>
  </w:style>
  <w:style w:type="paragraph" w:customStyle="1" w:styleId="72">
    <w:name w:val="正文2"/>
    <w:basedOn w:val="1"/>
    <w:qFormat/>
    <w:uiPriority w:val="0"/>
    <w:rPr>
      <w:rFonts w:ascii="Times New Roman" w:hAnsi="Times New Roman"/>
    </w:rPr>
  </w:style>
  <w:style w:type="table" w:customStyle="1" w:styleId="73">
    <w:name w:val="g1"/>
    <w:semiHidden/>
    <w:unhideWhenUsed/>
    <w:qFormat/>
    <w:uiPriority w:val="99"/>
    <w:tblPr>
      <w:tblLayout w:type="fixed"/>
      <w:tblCellMar>
        <w:top w:w="0" w:type="dxa"/>
        <w:left w:w="108" w:type="dxa"/>
        <w:bottom w:w="0" w:type="dxa"/>
        <w:right w:w="108" w:type="dxa"/>
      </w:tblCellMar>
    </w:tblPr>
  </w:style>
  <w:style w:type="table" w:customStyle="1" w:styleId="74">
    <w:name w:val="g2"/>
    <w:basedOn w:val="3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5">
    <w:name w:val="g3"/>
    <w:unhideWhenUsed/>
    <w:qFormat/>
    <w:uiPriority w:val="99"/>
    <w:tblPr>
      <w:tblLayout w:type="fixed"/>
      <w:tblCellMar>
        <w:top w:w="0" w:type="dxa"/>
        <w:left w:w="108" w:type="dxa"/>
        <w:bottom w:w="0" w:type="dxa"/>
        <w:right w:w="108" w:type="dxa"/>
      </w:tblCellMar>
    </w:tblPr>
  </w:style>
  <w:style w:type="paragraph" w:customStyle="1" w:styleId="76">
    <w:name w:val="_Style 75"/>
    <w:qFormat/>
    <w:uiPriority w:val="0"/>
    <w:rPr>
      <w:rFonts w:ascii="宋体" w:hAnsi="宋体" w:eastAsia="宋体" w:cs="宋体"/>
      <w:sz w:val="21"/>
      <w:szCs w:val="24"/>
      <w:lang w:val="en-US" w:eastAsia="zh-CN" w:bidi="ar-SA"/>
    </w:rPr>
  </w:style>
  <w:style w:type="paragraph" w:customStyle="1" w:styleId="77">
    <w:name w:val="_Style 76"/>
    <w:basedOn w:val="1"/>
    <w:next w:val="1"/>
    <w:qFormat/>
    <w:uiPriority w:val="99"/>
    <w:pPr>
      <w:keepNext/>
      <w:keepLines/>
      <w:widowControl w:val="0"/>
      <w:spacing w:before="60" w:after="60" w:line="360" w:lineRule="auto"/>
      <w:jc w:val="center"/>
      <w:outlineLvl w:val="0"/>
    </w:pPr>
    <w:rPr>
      <w:rFonts w:ascii="Calibri" w:hAnsi="Calibri" w:eastAsia="黑体" w:cs="Times New Roman"/>
      <w:b/>
      <w:bCs/>
      <w:kern w:val="44"/>
      <w:sz w:val="28"/>
      <w:szCs w:val="44"/>
    </w:rPr>
  </w:style>
  <w:style w:type="paragraph" w:customStyle="1" w:styleId="78">
    <w:name w:val="标题 2 Char Char Char"/>
    <w:basedOn w:val="1"/>
    <w:next w:val="1"/>
    <w:qFormat/>
    <w:uiPriority w:val="0"/>
    <w:pPr>
      <w:keepNext/>
      <w:keepLines/>
      <w:widowControl w:val="0"/>
      <w:spacing w:before="60" w:after="60"/>
      <w:jc w:val="both"/>
      <w:outlineLvl w:val="1"/>
    </w:pPr>
    <w:rPr>
      <w:rFonts w:ascii="Arial" w:hAnsi="Arial" w:cs="Times New Roman"/>
      <w:b/>
      <w:bCs/>
      <w:kern w:val="2"/>
    </w:rPr>
  </w:style>
  <w:style w:type="paragraph" w:customStyle="1" w:styleId="79">
    <w:name w:val="_Style 78"/>
    <w:basedOn w:val="1"/>
    <w:next w:val="1"/>
    <w:qFormat/>
    <w:uiPriority w:val="9"/>
    <w:pPr>
      <w:keepNext/>
      <w:keepLines/>
      <w:widowControl w:val="0"/>
      <w:spacing w:before="60" w:after="60"/>
      <w:jc w:val="both"/>
      <w:outlineLvl w:val="2"/>
    </w:pPr>
    <w:rPr>
      <w:rFonts w:ascii="Calibri" w:hAnsi="Calibri" w:cs="Times New Roman"/>
      <w:b/>
      <w:bCs/>
      <w:kern w:val="2"/>
      <w:szCs w:val="32"/>
    </w:rPr>
  </w:style>
  <w:style w:type="paragraph" w:customStyle="1" w:styleId="80">
    <w:name w:val="_Style 79"/>
    <w:basedOn w:val="1"/>
    <w:next w:val="1"/>
    <w:qFormat/>
    <w:uiPriority w:val="9"/>
    <w:pPr>
      <w:keepNext/>
      <w:keepLines/>
      <w:widowControl w:val="0"/>
      <w:spacing w:before="60" w:after="60"/>
      <w:jc w:val="both"/>
      <w:outlineLvl w:val="3"/>
    </w:pPr>
    <w:rPr>
      <w:rFonts w:ascii="Cambria" w:hAnsi="Cambria" w:cs="Times New Roman"/>
      <w:b/>
      <w:bCs/>
      <w:kern w:val="2"/>
      <w:szCs w:val="28"/>
    </w:rPr>
  </w:style>
  <w:style w:type="paragraph" w:customStyle="1" w:styleId="81">
    <w:name w:val="_Style 80"/>
    <w:basedOn w:val="1"/>
    <w:next w:val="1"/>
    <w:qFormat/>
    <w:uiPriority w:val="9"/>
    <w:pPr>
      <w:keepNext/>
      <w:keepLines/>
      <w:widowControl w:val="0"/>
      <w:spacing w:before="60" w:after="60"/>
      <w:jc w:val="both"/>
      <w:outlineLvl w:val="4"/>
    </w:pPr>
    <w:rPr>
      <w:rFonts w:ascii="Calibri" w:hAnsi="Calibri" w:cs="Times New Roman"/>
      <w:b/>
      <w:bCs/>
      <w:kern w:val="2"/>
      <w:szCs w:val="28"/>
    </w:rPr>
  </w:style>
  <w:style w:type="table" w:customStyle="1" w:styleId="82">
    <w:name w:val="_Style 81"/>
    <w:semiHidden/>
    <w:unhideWhenUsed/>
    <w:qFormat/>
    <w:uiPriority w:val="99"/>
    <w:tblPr>
      <w:tblLayout w:type="fixed"/>
      <w:tblCellMar>
        <w:top w:w="0" w:type="dxa"/>
        <w:left w:w="108" w:type="dxa"/>
        <w:bottom w:w="0" w:type="dxa"/>
        <w:right w:w="108" w:type="dxa"/>
      </w:tblCellMar>
    </w:tblPr>
  </w:style>
  <w:style w:type="paragraph" w:customStyle="1" w:styleId="83">
    <w:name w:val="_Style 82"/>
    <w:basedOn w:val="2"/>
    <w:next w:val="1"/>
    <w:qFormat/>
    <w:uiPriority w:val="39"/>
    <w:pPr>
      <w:spacing w:before="480" w:after="0" w:line="276" w:lineRule="auto"/>
      <w:outlineLvl w:val="9"/>
    </w:pPr>
    <w:rPr>
      <w:rFonts w:ascii="Cambria" w:hAnsi="Cambria" w:eastAsia="宋体"/>
      <w:color w:val="365F91"/>
      <w:kern w:val="0"/>
      <w:szCs w:val="28"/>
    </w:rPr>
  </w:style>
  <w:style w:type="paragraph" w:customStyle="1" w:styleId="84">
    <w:name w:val="_Style 83"/>
    <w:basedOn w:val="1"/>
    <w:next w:val="1"/>
    <w:qFormat/>
    <w:uiPriority w:val="39"/>
    <w:pPr>
      <w:widowControl w:val="0"/>
      <w:jc w:val="both"/>
    </w:pPr>
    <w:rPr>
      <w:rFonts w:ascii="Times New Roman" w:hAnsi="Times New Roman" w:cs="Times New Roman"/>
      <w:kern w:val="2"/>
    </w:rPr>
  </w:style>
  <w:style w:type="paragraph" w:customStyle="1" w:styleId="85">
    <w:name w:val="_Style 84"/>
    <w:basedOn w:val="1"/>
    <w:next w:val="1"/>
    <w:qFormat/>
    <w:uiPriority w:val="39"/>
    <w:pPr>
      <w:widowControl w:val="0"/>
      <w:ind w:left="420" w:leftChars="200"/>
      <w:jc w:val="both"/>
    </w:pPr>
    <w:rPr>
      <w:rFonts w:ascii="Times New Roman" w:hAnsi="Times New Roman" w:cs="Times New Roman"/>
      <w:kern w:val="2"/>
    </w:rPr>
  </w:style>
  <w:style w:type="paragraph" w:customStyle="1" w:styleId="86">
    <w:name w:val="_Style 85"/>
    <w:basedOn w:val="1"/>
    <w:qFormat/>
    <w:uiPriority w:val="0"/>
    <w:pPr>
      <w:widowControl w:val="0"/>
    </w:pPr>
    <w:rPr>
      <w:rFonts w:ascii="Times New Roman" w:hAnsi="Times New Roman" w:cs="Times New Roman"/>
      <w:kern w:val="2"/>
    </w:rPr>
  </w:style>
  <w:style w:type="paragraph" w:customStyle="1" w:styleId="87">
    <w:name w:val="_Style 86"/>
    <w:basedOn w:val="1"/>
    <w:unhideWhenUsed/>
    <w:qFormat/>
    <w:uiPriority w:val="99"/>
    <w:pPr>
      <w:widowControl w:val="0"/>
      <w:jc w:val="both"/>
    </w:pPr>
    <w:rPr>
      <w:rFonts w:ascii="Calibri" w:hAnsi="Calibri" w:cs="Times New Roman"/>
      <w:kern w:val="2"/>
      <w:sz w:val="18"/>
      <w:szCs w:val="18"/>
    </w:rPr>
  </w:style>
  <w:style w:type="paragraph" w:customStyle="1" w:styleId="88">
    <w:name w:val="_Style 87"/>
    <w:basedOn w:val="1"/>
    <w:next w:val="1"/>
    <w:qFormat/>
    <w:uiPriority w:val="99"/>
    <w:pPr>
      <w:widowControl w:val="0"/>
      <w:jc w:val="both"/>
    </w:pPr>
    <w:rPr>
      <w:rFonts w:ascii="Times New Roman" w:hAnsi="Times New Roman" w:cs="Times New Roman"/>
      <w:kern w:val="2"/>
    </w:rPr>
  </w:style>
  <w:style w:type="paragraph" w:customStyle="1" w:styleId="89">
    <w:name w:val="_Style 88"/>
    <w:basedOn w:val="1"/>
    <w:qFormat/>
    <w:uiPriority w:val="99"/>
    <w:pPr>
      <w:spacing w:before="100" w:after="100"/>
      <w:jc w:val="right"/>
    </w:pPr>
    <w:rPr>
      <w:rFonts w:ascii="Arial Unicode MS" w:hAnsi="Times New Roman" w:eastAsia="Arial Unicode MS" w:cs="Times New Roman"/>
      <w:sz w:val="18"/>
      <w:szCs w:val="18"/>
    </w:rPr>
  </w:style>
  <w:style w:type="paragraph" w:customStyle="1" w:styleId="90">
    <w:name w:val="_Style 89"/>
    <w:basedOn w:val="1"/>
    <w:qFormat/>
    <w:uiPriority w:val="34"/>
    <w:pPr>
      <w:widowControl w:val="0"/>
      <w:ind w:firstLine="420" w:firstLineChars="200"/>
      <w:jc w:val="both"/>
    </w:pPr>
    <w:rPr>
      <w:rFonts w:ascii="Calibri" w:hAnsi="Calibri" w:cs="Times New Roman"/>
      <w:kern w:val="2"/>
      <w:szCs w:val="22"/>
    </w:rPr>
  </w:style>
  <w:style w:type="paragraph" w:customStyle="1" w:styleId="91">
    <w:name w:val="_Style 90"/>
    <w:basedOn w:val="1"/>
    <w:next w:val="1"/>
    <w:unhideWhenUsed/>
    <w:qFormat/>
    <w:uiPriority w:val="39"/>
    <w:pPr>
      <w:spacing w:after="100" w:line="276" w:lineRule="auto"/>
      <w:ind w:left="440"/>
    </w:pPr>
    <w:rPr>
      <w:rFonts w:ascii="Calibri" w:hAnsi="Calibri" w:cs="Times New Roman"/>
      <w:sz w:val="22"/>
      <w:szCs w:val="22"/>
    </w:rPr>
  </w:style>
  <w:style w:type="paragraph" w:customStyle="1" w:styleId="92">
    <w:name w:val="_Style 91"/>
    <w:basedOn w:val="1"/>
    <w:unhideWhenUsed/>
    <w:qFormat/>
    <w:uiPriority w:val="0"/>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customStyle="1" w:styleId="93">
    <w:name w:val="_Style 92"/>
    <w:basedOn w:val="1"/>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customStyle="1" w:styleId="94">
    <w:name w:val="_Style 93"/>
    <w:basedOn w:val="1"/>
    <w:qFormat/>
    <w:uiPriority w:val="0"/>
    <w:pPr>
      <w:widowControl w:val="0"/>
      <w:jc w:val="both"/>
    </w:pPr>
    <w:rPr>
      <w:rFonts w:hAnsi="Courier New" w:cs="Times New Roman"/>
      <w:kern w:val="2"/>
      <w:szCs w:val="20"/>
    </w:rPr>
  </w:style>
  <w:style w:type="paragraph" w:customStyle="1" w:styleId="95">
    <w:name w:val="_Style 94"/>
    <w:basedOn w:val="1"/>
    <w:qFormat/>
    <w:uiPriority w:val="99"/>
    <w:pPr>
      <w:widowControl w:val="0"/>
      <w:spacing w:after="120"/>
      <w:jc w:val="both"/>
    </w:pPr>
    <w:rPr>
      <w:rFonts w:ascii="Times New Roman" w:hAnsi="Times New Roman" w:cs="Times New Roman"/>
      <w:kern w:val="2"/>
    </w:rPr>
  </w:style>
  <w:style w:type="paragraph" w:customStyle="1" w:styleId="96">
    <w:name w:val="_Style 95"/>
    <w:basedOn w:val="1"/>
    <w:qFormat/>
    <w:uiPriority w:val="99"/>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97">
    <w:name w:val="_Style 96"/>
    <w:basedOn w:val="1"/>
    <w:next w:val="1"/>
    <w:qFormat/>
    <w:uiPriority w:val="99"/>
    <w:pPr>
      <w:widowControl w:val="0"/>
      <w:ind w:left="100" w:leftChars="2500"/>
      <w:jc w:val="both"/>
    </w:pPr>
    <w:rPr>
      <w:rFonts w:ascii="Times New Roman" w:hAnsi="Times New Roman" w:cs="Times New Roman"/>
      <w:kern w:val="2"/>
    </w:rPr>
  </w:style>
  <w:style w:type="paragraph" w:customStyle="1" w:styleId="98">
    <w:name w:val="_Style 97"/>
    <w:basedOn w:val="1"/>
    <w:next w:val="1"/>
    <w:qFormat/>
    <w:uiPriority w:val="99"/>
    <w:pPr>
      <w:widowControl w:val="0"/>
      <w:jc w:val="center"/>
    </w:pPr>
    <w:rPr>
      <w:rFonts w:ascii="Times New Roman" w:hAnsi="Times New Roman" w:cs="Times New Roman"/>
      <w:kern w:val="2"/>
    </w:rPr>
  </w:style>
  <w:style w:type="paragraph" w:customStyle="1" w:styleId="99">
    <w:name w:val="_Style 98"/>
    <w:basedOn w:val="1"/>
    <w:next w:val="1"/>
    <w:semiHidden/>
    <w:qFormat/>
    <w:uiPriority w:val="0"/>
    <w:pPr>
      <w:widowControl w:val="0"/>
      <w:spacing w:before="120"/>
      <w:jc w:val="both"/>
    </w:pPr>
    <w:rPr>
      <w:rFonts w:ascii="Arial" w:hAnsi="Arial" w:cs="Times New Roman"/>
      <w:b/>
      <w:bCs/>
      <w:kern w:val="2"/>
    </w:rPr>
  </w:style>
  <w:style w:type="paragraph" w:customStyle="1" w:styleId="100">
    <w:name w:val="_Style 99"/>
    <w:basedOn w:val="1"/>
    <w:qFormat/>
    <w:uiPriority w:val="0"/>
    <w:pPr>
      <w:keepNext/>
      <w:keepLines/>
      <w:widowControl w:val="0"/>
      <w:spacing w:before="60" w:after="60"/>
      <w:ind w:hanging="420" w:hangingChars="200"/>
      <w:jc w:val="both"/>
      <w:outlineLvl w:val="4"/>
    </w:pPr>
    <w:rPr>
      <w:rFonts w:cs="Times New Roman"/>
      <w:b/>
      <w:bCs/>
      <w:kern w:val="2"/>
    </w:rPr>
  </w:style>
  <w:style w:type="paragraph" w:customStyle="1" w:styleId="101">
    <w:name w:val="_Style 100"/>
    <w:basedOn w:val="1"/>
    <w:qFormat/>
    <w:uiPriority w:val="0"/>
    <w:pPr>
      <w:widowControl w:val="0"/>
      <w:spacing w:before="100" w:after="100"/>
      <w:jc w:val="both"/>
    </w:pPr>
    <w:rPr>
      <w:rFonts w:ascii="Calibri" w:hAnsi="Calibri" w:cs="Times New Roman"/>
      <w:kern w:val="2"/>
    </w:rPr>
  </w:style>
  <w:style w:type="paragraph" w:customStyle="1" w:styleId="102">
    <w:name w:val="_Style 101"/>
    <w:basedOn w:val="1"/>
    <w:semiHidden/>
    <w:unhideWhenUsed/>
    <w:qFormat/>
    <w:uiPriority w:val="99"/>
    <w:pPr>
      <w:widowControl w:val="0"/>
      <w:jc w:val="both"/>
    </w:pPr>
    <w:rPr>
      <w:rFonts w:hAnsi="Calibri" w:cs="Times New Roman"/>
      <w:kern w:val="2"/>
      <w:sz w:val="18"/>
      <w:szCs w:val="18"/>
    </w:rPr>
  </w:style>
  <w:style w:type="paragraph" w:customStyle="1" w:styleId="103">
    <w:name w:val="_Style 102"/>
    <w:basedOn w:val="1"/>
    <w:next w:val="1"/>
    <w:qFormat/>
    <w:uiPriority w:val="10"/>
    <w:pPr>
      <w:widowControl w:val="0"/>
      <w:spacing w:before="240" w:after="60"/>
      <w:jc w:val="center"/>
      <w:outlineLvl w:val="0"/>
    </w:pPr>
    <w:rPr>
      <w:rFonts w:asciiTheme="majorHAnsi" w:hAnsiTheme="majorHAnsi" w:cstheme="majorBidi"/>
      <w:b/>
      <w:bCs/>
      <w:kern w:val="2"/>
      <w:sz w:val="32"/>
      <w:szCs w:val="32"/>
    </w:rPr>
  </w:style>
  <w:style w:type="paragraph" w:customStyle="1" w:styleId="104">
    <w:name w:val="_Style 103"/>
    <w:basedOn w:val="1"/>
    <w:next w:val="1"/>
    <w:unhideWhenUsed/>
    <w:qFormat/>
    <w:uiPriority w:val="39"/>
    <w:pPr>
      <w:widowControl w:val="0"/>
      <w:ind w:left="1260" w:leftChars="600"/>
      <w:jc w:val="both"/>
    </w:pPr>
    <w:rPr>
      <w:rFonts w:asciiTheme="minorHAnsi" w:hAnsiTheme="minorHAnsi" w:eastAsiaTheme="minorEastAsia" w:cstheme="minorBidi"/>
      <w:kern w:val="2"/>
      <w:szCs w:val="22"/>
    </w:rPr>
  </w:style>
  <w:style w:type="paragraph" w:customStyle="1" w:styleId="105">
    <w:name w:val="_Style 104"/>
    <w:basedOn w:val="1"/>
    <w:next w:val="1"/>
    <w:unhideWhenUsed/>
    <w:qFormat/>
    <w:uiPriority w:val="39"/>
    <w:pPr>
      <w:widowControl w:val="0"/>
      <w:ind w:left="1680" w:leftChars="800"/>
      <w:jc w:val="both"/>
    </w:pPr>
    <w:rPr>
      <w:rFonts w:asciiTheme="minorHAnsi" w:hAnsiTheme="minorHAnsi" w:eastAsiaTheme="minorEastAsia" w:cstheme="minorBidi"/>
      <w:kern w:val="2"/>
      <w:szCs w:val="22"/>
    </w:rPr>
  </w:style>
  <w:style w:type="paragraph" w:customStyle="1" w:styleId="106">
    <w:name w:val="_Style 105"/>
    <w:basedOn w:val="1"/>
    <w:next w:val="1"/>
    <w:unhideWhenUsed/>
    <w:qFormat/>
    <w:uiPriority w:val="39"/>
    <w:pPr>
      <w:widowControl w:val="0"/>
      <w:ind w:left="2100" w:leftChars="1000"/>
      <w:jc w:val="both"/>
    </w:pPr>
    <w:rPr>
      <w:rFonts w:asciiTheme="minorHAnsi" w:hAnsiTheme="minorHAnsi" w:eastAsiaTheme="minorEastAsia" w:cstheme="minorBidi"/>
      <w:kern w:val="2"/>
      <w:szCs w:val="22"/>
    </w:rPr>
  </w:style>
  <w:style w:type="paragraph" w:customStyle="1" w:styleId="107">
    <w:name w:val="_Style 106"/>
    <w:basedOn w:val="1"/>
    <w:next w:val="1"/>
    <w:unhideWhenUsed/>
    <w:qFormat/>
    <w:uiPriority w:val="39"/>
    <w:pPr>
      <w:widowControl w:val="0"/>
      <w:ind w:left="2520" w:leftChars="1200"/>
      <w:jc w:val="both"/>
    </w:pPr>
    <w:rPr>
      <w:rFonts w:asciiTheme="minorHAnsi" w:hAnsiTheme="minorHAnsi" w:eastAsiaTheme="minorEastAsia" w:cstheme="minorBidi"/>
      <w:kern w:val="2"/>
      <w:szCs w:val="22"/>
    </w:rPr>
  </w:style>
  <w:style w:type="paragraph" w:customStyle="1" w:styleId="108">
    <w:name w:val="_Style 107"/>
    <w:basedOn w:val="1"/>
    <w:next w:val="1"/>
    <w:unhideWhenUsed/>
    <w:qFormat/>
    <w:uiPriority w:val="39"/>
    <w:pPr>
      <w:widowControl w:val="0"/>
      <w:ind w:left="2940" w:leftChars="1400"/>
      <w:jc w:val="both"/>
    </w:pPr>
    <w:rPr>
      <w:rFonts w:asciiTheme="minorHAnsi" w:hAnsiTheme="minorHAnsi" w:eastAsiaTheme="minorEastAsia" w:cstheme="minorBidi"/>
      <w:kern w:val="2"/>
      <w:szCs w:val="22"/>
    </w:rPr>
  </w:style>
  <w:style w:type="paragraph" w:customStyle="1" w:styleId="109">
    <w:name w:val="_Style 108"/>
    <w:basedOn w:val="1"/>
    <w:next w:val="1"/>
    <w:unhideWhenUsed/>
    <w:qFormat/>
    <w:uiPriority w:val="39"/>
    <w:pPr>
      <w:widowControl w:val="0"/>
      <w:ind w:left="3360" w:leftChars="1600"/>
      <w:jc w:val="both"/>
    </w:pPr>
    <w:rPr>
      <w:rFonts w:asciiTheme="minorHAnsi" w:hAnsiTheme="minorHAnsi" w:eastAsiaTheme="minorEastAsia" w:cstheme="minorBidi"/>
      <w:kern w:val="2"/>
      <w:szCs w:val="22"/>
    </w:rPr>
  </w:style>
  <w:style w:type="paragraph" w:customStyle="1" w:styleId="110">
    <w:name w:val="_Style 109"/>
    <w:basedOn w:val="1"/>
    <w:qFormat/>
    <w:uiPriority w:val="99"/>
    <w:pPr>
      <w:spacing w:before="100" w:beforeAutospacing="1" w:after="100" w:afterAutospacing="1"/>
    </w:pPr>
    <w:rPr>
      <w:sz w:val="24"/>
    </w:rPr>
  </w:style>
  <w:style w:type="paragraph" w:customStyle="1" w:styleId="111">
    <w:name w:val="_Style 110"/>
    <w:basedOn w:val="1"/>
    <w:next w:val="1"/>
    <w:qFormat/>
    <w:uiPriority w:val="0"/>
    <w:pPr>
      <w:keepNext/>
      <w:keepLines/>
      <w:widowControl w:val="0"/>
      <w:spacing w:before="100" w:beforeAutospacing="1" w:after="100" w:afterAutospacing="1" w:line="415" w:lineRule="auto"/>
      <w:jc w:val="both"/>
    </w:pPr>
    <w:rPr>
      <w:rFonts w:ascii="Times New Roman" w:hAnsi="Times New Roman" w:cs="Times New Roman"/>
      <w:b/>
      <w:kern w:val="2"/>
    </w:rPr>
  </w:style>
  <w:style w:type="table" w:customStyle="1" w:styleId="112">
    <w:name w:val="_Style 111"/>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162653D1-13D4-4E4F-AD1C-ABDFC36FDDF6}"/>
      </w:docPartPr>
      <w:docPartBody>
        <w:p>
          <w:r>
            <w:rPr>
              <w:rStyle w:val="4"/>
              <w:rFonts w:hint="eastAsia"/>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B48"/>
    <w:rsid w:val="00011C18"/>
    <w:rsid w:val="00011E75"/>
    <w:rsid w:val="00012653"/>
    <w:rsid w:val="00012A0F"/>
    <w:rsid w:val="00013B71"/>
    <w:rsid w:val="00020357"/>
    <w:rsid w:val="00020D37"/>
    <w:rsid w:val="00021BC4"/>
    <w:rsid w:val="000234EA"/>
    <w:rsid w:val="0002361B"/>
    <w:rsid w:val="000236A0"/>
    <w:rsid w:val="0002605F"/>
    <w:rsid w:val="00032504"/>
    <w:rsid w:val="00032ECB"/>
    <w:rsid w:val="000336AB"/>
    <w:rsid w:val="000353DC"/>
    <w:rsid w:val="0003608F"/>
    <w:rsid w:val="000373E9"/>
    <w:rsid w:val="000403D5"/>
    <w:rsid w:val="00044179"/>
    <w:rsid w:val="00044916"/>
    <w:rsid w:val="00045444"/>
    <w:rsid w:val="00046138"/>
    <w:rsid w:val="000554CD"/>
    <w:rsid w:val="00055561"/>
    <w:rsid w:val="0005740A"/>
    <w:rsid w:val="00061F65"/>
    <w:rsid w:val="00063874"/>
    <w:rsid w:val="00063CC6"/>
    <w:rsid w:val="00065B5A"/>
    <w:rsid w:val="000667C2"/>
    <w:rsid w:val="00067DCC"/>
    <w:rsid w:val="00070ACB"/>
    <w:rsid w:val="00070BF0"/>
    <w:rsid w:val="00076D57"/>
    <w:rsid w:val="0007717F"/>
    <w:rsid w:val="00077530"/>
    <w:rsid w:val="00081D6E"/>
    <w:rsid w:val="00082580"/>
    <w:rsid w:val="00083B00"/>
    <w:rsid w:val="00083C63"/>
    <w:rsid w:val="00084E8F"/>
    <w:rsid w:val="00087193"/>
    <w:rsid w:val="0009029E"/>
    <w:rsid w:val="00090A6F"/>
    <w:rsid w:val="00091B0E"/>
    <w:rsid w:val="00093BE5"/>
    <w:rsid w:val="000958C3"/>
    <w:rsid w:val="00096466"/>
    <w:rsid w:val="000A31F9"/>
    <w:rsid w:val="000B3464"/>
    <w:rsid w:val="000B5761"/>
    <w:rsid w:val="000B5C82"/>
    <w:rsid w:val="000C5E8F"/>
    <w:rsid w:val="000C5F2F"/>
    <w:rsid w:val="000C656D"/>
    <w:rsid w:val="000D0276"/>
    <w:rsid w:val="000E3728"/>
    <w:rsid w:val="000E5940"/>
    <w:rsid w:val="000E7B4D"/>
    <w:rsid w:val="000F147D"/>
    <w:rsid w:val="000F3B57"/>
    <w:rsid w:val="000F41A3"/>
    <w:rsid w:val="000F440D"/>
    <w:rsid w:val="00101C5F"/>
    <w:rsid w:val="00101EE7"/>
    <w:rsid w:val="00103415"/>
    <w:rsid w:val="00105693"/>
    <w:rsid w:val="00105B3C"/>
    <w:rsid w:val="00110AE1"/>
    <w:rsid w:val="00114109"/>
    <w:rsid w:val="00114EE3"/>
    <w:rsid w:val="00117118"/>
    <w:rsid w:val="0011797F"/>
    <w:rsid w:val="001179BE"/>
    <w:rsid w:val="00122BB8"/>
    <w:rsid w:val="001279CA"/>
    <w:rsid w:val="00133739"/>
    <w:rsid w:val="00140824"/>
    <w:rsid w:val="0014233D"/>
    <w:rsid w:val="00142487"/>
    <w:rsid w:val="001425FD"/>
    <w:rsid w:val="00142BBE"/>
    <w:rsid w:val="00144665"/>
    <w:rsid w:val="00151EE9"/>
    <w:rsid w:val="00152DC3"/>
    <w:rsid w:val="00152F0F"/>
    <w:rsid w:val="0015578A"/>
    <w:rsid w:val="00156761"/>
    <w:rsid w:val="00157128"/>
    <w:rsid w:val="00167914"/>
    <w:rsid w:val="001705F9"/>
    <w:rsid w:val="001812E2"/>
    <w:rsid w:val="00183634"/>
    <w:rsid w:val="00184093"/>
    <w:rsid w:val="00186ABA"/>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B7441"/>
    <w:rsid w:val="001C18E2"/>
    <w:rsid w:val="001C2312"/>
    <w:rsid w:val="001E2A87"/>
    <w:rsid w:val="001E7AC2"/>
    <w:rsid w:val="001F792E"/>
    <w:rsid w:val="001F7AEB"/>
    <w:rsid w:val="00202BF5"/>
    <w:rsid w:val="00203E4B"/>
    <w:rsid w:val="002040F5"/>
    <w:rsid w:val="002118F6"/>
    <w:rsid w:val="00212CD0"/>
    <w:rsid w:val="002157E5"/>
    <w:rsid w:val="002203AB"/>
    <w:rsid w:val="00222C1F"/>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7219"/>
    <w:rsid w:val="002C052B"/>
    <w:rsid w:val="002C1384"/>
    <w:rsid w:val="002C1FA8"/>
    <w:rsid w:val="002C4EDD"/>
    <w:rsid w:val="002C60AD"/>
    <w:rsid w:val="002C6936"/>
    <w:rsid w:val="002C74B0"/>
    <w:rsid w:val="002C7F45"/>
    <w:rsid w:val="002D1456"/>
    <w:rsid w:val="002D36DA"/>
    <w:rsid w:val="002D5902"/>
    <w:rsid w:val="002D6EFF"/>
    <w:rsid w:val="002D76CF"/>
    <w:rsid w:val="002E52A1"/>
    <w:rsid w:val="002F2BCD"/>
    <w:rsid w:val="002F3760"/>
    <w:rsid w:val="0030473E"/>
    <w:rsid w:val="003076E0"/>
    <w:rsid w:val="003107C9"/>
    <w:rsid w:val="00311067"/>
    <w:rsid w:val="003145A5"/>
    <w:rsid w:val="003161CE"/>
    <w:rsid w:val="00321D6D"/>
    <w:rsid w:val="0032625F"/>
    <w:rsid w:val="003262C7"/>
    <w:rsid w:val="00326ECB"/>
    <w:rsid w:val="003333AF"/>
    <w:rsid w:val="00335DE6"/>
    <w:rsid w:val="00336C67"/>
    <w:rsid w:val="00342477"/>
    <w:rsid w:val="00343D04"/>
    <w:rsid w:val="00344D91"/>
    <w:rsid w:val="00353AE0"/>
    <w:rsid w:val="00356A92"/>
    <w:rsid w:val="00357D61"/>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29F3"/>
    <w:rsid w:val="003E3750"/>
    <w:rsid w:val="003E7481"/>
    <w:rsid w:val="003F10C8"/>
    <w:rsid w:val="003F1975"/>
    <w:rsid w:val="003F3961"/>
    <w:rsid w:val="003F3A03"/>
    <w:rsid w:val="003F61C2"/>
    <w:rsid w:val="0040287B"/>
    <w:rsid w:val="004073B3"/>
    <w:rsid w:val="00410006"/>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CD1"/>
    <w:rsid w:val="00491337"/>
    <w:rsid w:val="0049223A"/>
    <w:rsid w:val="00492496"/>
    <w:rsid w:val="00492A9F"/>
    <w:rsid w:val="00493BA3"/>
    <w:rsid w:val="00494271"/>
    <w:rsid w:val="004942F5"/>
    <w:rsid w:val="0049694C"/>
    <w:rsid w:val="004A20D7"/>
    <w:rsid w:val="004A7C93"/>
    <w:rsid w:val="004B03EC"/>
    <w:rsid w:val="004B2FA4"/>
    <w:rsid w:val="004B3148"/>
    <w:rsid w:val="004B44B8"/>
    <w:rsid w:val="004B4CFF"/>
    <w:rsid w:val="004B54E9"/>
    <w:rsid w:val="004B59D6"/>
    <w:rsid w:val="004B6A92"/>
    <w:rsid w:val="004C13E9"/>
    <w:rsid w:val="004C43A4"/>
    <w:rsid w:val="004C7259"/>
    <w:rsid w:val="004C76CE"/>
    <w:rsid w:val="004D1741"/>
    <w:rsid w:val="004D20EE"/>
    <w:rsid w:val="004D25B0"/>
    <w:rsid w:val="004D2666"/>
    <w:rsid w:val="004D7489"/>
    <w:rsid w:val="004D7840"/>
    <w:rsid w:val="004E04F7"/>
    <w:rsid w:val="004E3AF1"/>
    <w:rsid w:val="004E7288"/>
    <w:rsid w:val="004F009B"/>
    <w:rsid w:val="004F0706"/>
    <w:rsid w:val="004F207A"/>
    <w:rsid w:val="005027B4"/>
    <w:rsid w:val="00504773"/>
    <w:rsid w:val="00506383"/>
    <w:rsid w:val="005068BC"/>
    <w:rsid w:val="00516D73"/>
    <w:rsid w:val="00520485"/>
    <w:rsid w:val="00522F6B"/>
    <w:rsid w:val="00523110"/>
    <w:rsid w:val="00524D62"/>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60A87"/>
    <w:rsid w:val="00564CD3"/>
    <w:rsid w:val="00565364"/>
    <w:rsid w:val="0056541D"/>
    <w:rsid w:val="005654AC"/>
    <w:rsid w:val="005670C9"/>
    <w:rsid w:val="00567462"/>
    <w:rsid w:val="00567D9E"/>
    <w:rsid w:val="00567F61"/>
    <w:rsid w:val="005752A8"/>
    <w:rsid w:val="00575D97"/>
    <w:rsid w:val="005779AE"/>
    <w:rsid w:val="005821C1"/>
    <w:rsid w:val="005822A8"/>
    <w:rsid w:val="00582E12"/>
    <w:rsid w:val="005856BC"/>
    <w:rsid w:val="0058588D"/>
    <w:rsid w:val="0059545D"/>
    <w:rsid w:val="005A2E6F"/>
    <w:rsid w:val="005A6D6C"/>
    <w:rsid w:val="005A6ED8"/>
    <w:rsid w:val="005B3CB6"/>
    <w:rsid w:val="005B5439"/>
    <w:rsid w:val="005C028E"/>
    <w:rsid w:val="005C2D90"/>
    <w:rsid w:val="005C4B09"/>
    <w:rsid w:val="005C5DA2"/>
    <w:rsid w:val="005D2BF1"/>
    <w:rsid w:val="005D64A0"/>
    <w:rsid w:val="005D6837"/>
    <w:rsid w:val="005D6C4C"/>
    <w:rsid w:val="005E2D1E"/>
    <w:rsid w:val="005E3B88"/>
    <w:rsid w:val="005E61F9"/>
    <w:rsid w:val="005E7CE3"/>
    <w:rsid w:val="005F0430"/>
    <w:rsid w:val="005F1E03"/>
    <w:rsid w:val="005F3BA5"/>
    <w:rsid w:val="005F589F"/>
    <w:rsid w:val="00601FDC"/>
    <w:rsid w:val="0060301F"/>
    <w:rsid w:val="006126EC"/>
    <w:rsid w:val="00615A1A"/>
    <w:rsid w:val="00617EEA"/>
    <w:rsid w:val="0062450B"/>
    <w:rsid w:val="00626F2D"/>
    <w:rsid w:val="00626F33"/>
    <w:rsid w:val="006271F1"/>
    <w:rsid w:val="00627316"/>
    <w:rsid w:val="00632279"/>
    <w:rsid w:val="00640DE1"/>
    <w:rsid w:val="0064157C"/>
    <w:rsid w:val="006416B8"/>
    <w:rsid w:val="00643FA8"/>
    <w:rsid w:val="0064473F"/>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20D1"/>
    <w:rsid w:val="006A6E01"/>
    <w:rsid w:val="006A7E2E"/>
    <w:rsid w:val="006B25FE"/>
    <w:rsid w:val="006B2F1C"/>
    <w:rsid w:val="006B428F"/>
    <w:rsid w:val="006B5B2D"/>
    <w:rsid w:val="006B5E23"/>
    <w:rsid w:val="006B626E"/>
    <w:rsid w:val="006B6DE4"/>
    <w:rsid w:val="006C425B"/>
    <w:rsid w:val="006C4F96"/>
    <w:rsid w:val="006C5037"/>
    <w:rsid w:val="006C59BD"/>
    <w:rsid w:val="006C7EDF"/>
    <w:rsid w:val="006D0081"/>
    <w:rsid w:val="006D0624"/>
    <w:rsid w:val="006D0751"/>
    <w:rsid w:val="006D2E8E"/>
    <w:rsid w:val="006D61A3"/>
    <w:rsid w:val="006D7649"/>
    <w:rsid w:val="006E6B2E"/>
    <w:rsid w:val="006E7EC9"/>
    <w:rsid w:val="006F09DE"/>
    <w:rsid w:val="006F13FA"/>
    <w:rsid w:val="006F2491"/>
    <w:rsid w:val="006F39D6"/>
    <w:rsid w:val="006F4FF6"/>
    <w:rsid w:val="00701770"/>
    <w:rsid w:val="00703C57"/>
    <w:rsid w:val="00705C49"/>
    <w:rsid w:val="00710A14"/>
    <w:rsid w:val="00711502"/>
    <w:rsid w:val="0071327A"/>
    <w:rsid w:val="00731723"/>
    <w:rsid w:val="00732BBD"/>
    <w:rsid w:val="00734566"/>
    <w:rsid w:val="007355F3"/>
    <w:rsid w:val="00740175"/>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2C46"/>
    <w:rsid w:val="00784D7A"/>
    <w:rsid w:val="00790D3F"/>
    <w:rsid w:val="007945B6"/>
    <w:rsid w:val="007B135F"/>
    <w:rsid w:val="007B4384"/>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D2E7B"/>
    <w:rsid w:val="008D4FC7"/>
    <w:rsid w:val="008E0178"/>
    <w:rsid w:val="008E42C5"/>
    <w:rsid w:val="008F0B49"/>
    <w:rsid w:val="008F3574"/>
    <w:rsid w:val="009036E4"/>
    <w:rsid w:val="00904A3E"/>
    <w:rsid w:val="00904B95"/>
    <w:rsid w:val="009078EE"/>
    <w:rsid w:val="00907A65"/>
    <w:rsid w:val="00910497"/>
    <w:rsid w:val="00913362"/>
    <w:rsid w:val="0091396D"/>
    <w:rsid w:val="00916593"/>
    <w:rsid w:val="00916DBA"/>
    <w:rsid w:val="009215B7"/>
    <w:rsid w:val="009242EA"/>
    <w:rsid w:val="00924381"/>
    <w:rsid w:val="0093045C"/>
    <w:rsid w:val="009314BE"/>
    <w:rsid w:val="00932281"/>
    <w:rsid w:val="00934D2C"/>
    <w:rsid w:val="00935407"/>
    <w:rsid w:val="009402A5"/>
    <w:rsid w:val="00941728"/>
    <w:rsid w:val="009422D4"/>
    <w:rsid w:val="009457DA"/>
    <w:rsid w:val="00945BA6"/>
    <w:rsid w:val="0095041C"/>
    <w:rsid w:val="009535A7"/>
    <w:rsid w:val="00953A46"/>
    <w:rsid w:val="0096111A"/>
    <w:rsid w:val="00967C28"/>
    <w:rsid w:val="00974454"/>
    <w:rsid w:val="00974A56"/>
    <w:rsid w:val="00976D34"/>
    <w:rsid w:val="009779C3"/>
    <w:rsid w:val="009862E9"/>
    <w:rsid w:val="00986A33"/>
    <w:rsid w:val="00991F79"/>
    <w:rsid w:val="00996906"/>
    <w:rsid w:val="00997435"/>
    <w:rsid w:val="009A550B"/>
    <w:rsid w:val="009A58AB"/>
    <w:rsid w:val="009A5B98"/>
    <w:rsid w:val="009A67AF"/>
    <w:rsid w:val="009A6C69"/>
    <w:rsid w:val="009A6CCE"/>
    <w:rsid w:val="009B293C"/>
    <w:rsid w:val="009B342D"/>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367F"/>
    <w:rsid w:val="009F5450"/>
    <w:rsid w:val="00A01D8D"/>
    <w:rsid w:val="00A02BBC"/>
    <w:rsid w:val="00A02ED9"/>
    <w:rsid w:val="00A044B5"/>
    <w:rsid w:val="00A04892"/>
    <w:rsid w:val="00A07390"/>
    <w:rsid w:val="00A0798E"/>
    <w:rsid w:val="00A10C4B"/>
    <w:rsid w:val="00A13335"/>
    <w:rsid w:val="00A15BB3"/>
    <w:rsid w:val="00A24107"/>
    <w:rsid w:val="00A24A10"/>
    <w:rsid w:val="00A262B8"/>
    <w:rsid w:val="00A270B9"/>
    <w:rsid w:val="00A30A00"/>
    <w:rsid w:val="00A32526"/>
    <w:rsid w:val="00A41AB8"/>
    <w:rsid w:val="00A423C8"/>
    <w:rsid w:val="00A42B52"/>
    <w:rsid w:val="00A435AF"/>
    <w:rsid w:val="00A44683"/>
    <w:rsid w:val="00A52BC4"/>
    <w:rsid w:val="00A5314E"/>
    <w:rsid w:val="00A56CAE"/>
    <w:rsid w:val="00A653BB"/>
    <w:rsid w:val="00A65574"/>
    <w:rsid w:val="00A677A4"/>
    <w:rsid w:val="00A70728"/>
    <w:rsid w:val="00A74CBD"/>
    <w:rsid w:val="00A75E22"/>
    <w:rsid w:val="00A76206"/>
    <w:rsid w:val="00A80295"/>
    <w:rsid w:val="00A80F35"/>
    <w:rsid w:val="00A83E9B"/>
    <w:rsid w:val="00A85F54"/>
    <w:rsid w:val="00A92C4F"/>
    <w:rsid w:val="00A93989"/>
    <w:rsid w:val="00AA2031"/>
    <w:rsid w:val="00AA2955"/>
    <w:rsid w:val="00AA3069"/>
    <w:rsid w:val="00AB3FDB"/>
    <w:rsid w:val="00AB431D"/>
    <w:rsid w:val="00AB49FC"/>
    <w:rsid w:val="00AB4F81"/>
    <w:rsid w:val="00AB7DCC"/>
    <w:rsid w:val="00AC5F56"/>
    <w:rsid w:val="00AC65C2"/>
    <w:rsid w:val="00AC7870"/>
    <w:rsid w:val="00AD1A05"/>
    <w:rsid w:val="00AF2026"/>
    <w:rsid w:val="00AF3746"/>
    <w:rsid w:val="00AF4E8C"/>
    <w:rsid w:val="00AF514D"/>
    <w:rsid w:val="00AF7CDE"/>
    <w:rsid w:val="00B00E2E"/>
    <w:rsid w:val="00B018BE"/>
    <w:rsid w:val="00B02D4F"/>
    <w:rsid w:val="00B0308E"/>
    <w:rsid w:val="00B0508A"/>
    <w:rsid w:val="00B10F3E"/>
    <w:rsid w:val="00B116E7"/>
    <w:rsid w:val="00B235ED"/>
    <w:rsid w:val="00B24F71"/>
    <w:rsid w:val="00B251A2"/>
    <w:rsid w:val="00B25A6D"/>
    <w:rsid w:val="00B2605C"/>
    <w:rsid w:val="00B269B5"/>
    <w:rsid w:val="00B30435"/>
    <w:rsid w:val="00B314C5"/>
    <w:rsid w:val="00B331CF"/>
    <w:rsid w:val="00B355DA"/>
    <w:rsid w:val="00B426EF"/>
    <w:rsid w:val="00B4425C"/>
    <w:rsid w:val="00B474C7"/>
    <w:rsid w:val="00B54516"/>
    <w:rsid w:val="00B57015"/>
    <w:rsid w:val="00B627D0"/>
    <w:rsid w:val="00B657AC"/>
    <w:rsid w:val="00B703D9"/>
    <w:rsid w:val="00B705F1"/>
    <w:rsid w:val="00B71517"/>
    <w:rsid w:val="00B719E8"/>
    <w:rsid w:val="00B72BF0"/>
    <w:rsid w:val="00B730A9"/>
    <w:rsid w:val="00B75B52"/>
    <w:rsid w:val="00B80537"/>
    <w:rsid w:val="00B81785"/>
    <w:rsid w:val="00B84645"/>
    <w:rsid w:val="00B85C61"/>
    <w:rsid w:val="00B917D9"/>
    <w:rsid w:val="00BA3F3A"/>
    <w:rsid w:val="00BA45EF"/>
    <w:rsid w:val="00BB2FE6"/>
    <w:rsid w:val="00BB64AF"/>
    <w:rsid w:val="00BC285D"/>
    <w:rsid w:val="00BC37E4"/>
    <w:rsid w:val="00BC44A2"/>
    <w:rsid w:val="00BC6582"/>
    <w:rsid w:val="00BD038E"/>
    <w:rsid w:val="00BD1760"/>
    <w:rsid w:val="00BD272F"/>
    <w:rsid w:val="00BE0542"/>
    <w:rsid w:val="00BE5E61"/>
    <w:rsid w:val="00BF278F"/>
    <w:rsid w:val="00BF5D15"/>
    <w:rsid w:val="00BF7208"/>
    <w:rsid w:val="00C003A4"/>
    <w:rsid w:val="00C054C7"/>
    <w:rsid w:val="00C0767E"/>
    <w:rsid w:val="00C078B0"/>
    <w:rsid w:val="00C100A3"/>
    <w:rsid w:val="00C15DC5"/>
    <w:rsid w:val="00C16784"/>
    <w:rsid w:val="00C16A2C"/>
    <w:rsid w:val="00C177F5"/>
    <w:rsid w:val="00C20CD3"/>
    <w:rsid w:val="00C23EC6"/>
    <w:rsid w:val="00C2637F"/>
    <w:rsid w:val="00C307D6"/>
    <w:rsid w:val="00C30B4B"/>
    <w:rsid w:val="00C31799"/>
    <w:rsid w:val="00C3290A"/>
    <w:rsid w:val="00C360F6"/>
    <w:rsid w:val="00C36EEA"/>
    <w:rsid w:val="00C371D5"/>
    <w:rsid w:val="00C41406"/>
    <w:rsid w:val="00C43F05"/>
    <w:rsid w:val="00C4655D"/>
    <w:rsid w:val="00C508E4"/>
    <w:rsid w:val="00C52C02"/>
    <w:rsid w:val="00C5468E"/>
    <w:rsid w:val="00C54E4F"/>
    <w:rsid w:val="00C62834"/>
    <w:rsid w:val="00C63576"/>
    <w:rsid w:val="00C64B4D"/>
    <w:rsid w:val="00C66ECB"/>
    <w:rsid w:val="00C70C3B"/>
    <w:rsid w:val="00C746FA"/>
    <w:rsid w:val="00C82982"/>
    <w:rsid w:val="00C84339"/>
    <w:rsid w:val="00C846DB"/>
    <w:rsid w:val="00C87130"/>
    <w:rsid w:val="00C953FB"/>
    <w:rsid w:val="00CA08D7"/>
    <w:rsid w:val="00CA2544"/>
    <w:rsid w:val="00CA2B37"/>
    <w:rsid w:val="00CA3008"/>
    <w:rsid w:val="00CB0F42"/>
    <w:rsid w:val="00CB3D3E"/>
    <w:rsid w:val="00CB55CF"/>
    <w:rsid w:val="00CB5A04"/>
    <w:rsid w:val="00CC4686"/>
    <w:rsid w:val="00CC71B4"/>
    <w:rsid w:val="00CD1620"/>
    <w:rsid w:val="00CD4579"/>
    <w:rsid w:val="00CD477E"/>
    <w:rsid w:val="00CD67AF"/>
    <w:rsid w:val="00CD6909"/>
    <w:rsid w:val="00CE1EAA"/>
    <w:rsid w:val="00CE47FD"/>
    <w:rsid w:val="00CE4FC8"/>
    <w:rsid w:val="00CE6A40"/>
    <w:rsid w:val="00CE6C5B"/>
    <w:rsid w:val="00CF1B4D"/>
    <w:rsid w:val="00CF5F3A"/>
    <w:rsid w:val="00D00B95"/>
    <w:rsid w:val="00D0472A"/>
    <w:rsid w:val="00D05F1A"/>
    <w:rsid w:val="00D13563"/>
    <w:rsid w:val="00D13C3D"/>
    <w:rsid w:val="00D162E1"/>
    <w:rsid w:val="00D21CC4"/>
    <w:rsid w:val="00D22C1E"/>
    <w:rsid w:val="00D31746"/>
    <w:rsid w:val="00D3384A"/>
    <w:rsid w:val="00D346A9"/>
    <w:rsid w:val="00D40381"/>
    <w:rsid w:val="00D40765"/>
    <w:rsid w:val="00D411E6"/>
    <w:rsid w:val="00D44153"/>
    <w:rsid w:val="00D443F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66A6"/>
    <w:rsid w:val="00D87B29"/>
    <w:rsid w:val="00D94305"/>
    <w:rsid w:val="00D9649C"/>
    <w:rsid w:val="00D97990"/>
    <w:rsid w:val="00DA16AE"/>
    <w:rsid w:val="00DA356A"/>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5DB2"/>
    <w:rsid w:val="00E45E79"/>
    <w:rsid w:val="00E46646"/>
    <w:rsid w:val="00E50E43"/>
    <w:rsid w:val="00E525E5"/>
    <w:rsid w:val="00E533AE"/>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B07C7"/>
    <w:rsid w:val="00EB3935"/>
    <w:rsid w:val="00EC32B0"/>
    <w:rsid w:val="00EC7F75"/>
    <w:rsid w:val="00ED1BD9"/>
    <w:rsid w:val="00ED27AA"/>
    <w:rsid w:val="00ED4CA9"/>
    <w:rsid w:val="00EE14AE"/>
    <w:rsid w:val="00EE425E"/>
    <w:rsid w:val="00EF40AB"/>
    <w:rsid w:val="00EF5435"/>
    <w:rsid w:val="00EF5A56"/>
    <w:rsid w:val="00F002E1"/>
    <w:rsid w:val="00F00B5C"/>
    <w:rsid w:val="00F01FC1"/>
    <w:rsid w:val="00F03828"/>
    <w:rsid w:val="00F04B76"/>
    <w:rsid w:val="00F06716"/>
    <w:rsid w:val="00F0728E"/>
    <w:rsid w:val="00F1025B"/>
    <w:rsid w:val="00F104E1"/>
    <w:rsid w:val="00F11BD4"/>
    <w:rsid w:val="00F12194"/>
    <w:rsid w:val="00F127D0"/>
    <w:rsid w:val="00F15795"/>
    <w:rsid w:val="00F1774F"/>
    <w:rsid w:val="00F24689"/>
    <w:rsid w:val="00F25976"/>
    <w:rsid w:val="00F26702"/>
    <w:rsid w:val="00F303F9"/>
    <w:rsid w:val="00F37A07"/>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117D"/>
    <w:rsid w:val="00F96967"/>
    <w:rsid w:val="00FA0FA6"/>
    <w:rsid w:val="00FA33ED"/>
    <w:rsid w:val="00FA410E"/>
    <w:rsid w:val="00FA5149"/>
    <w:rsid w:val="00FB17A2"/>
    <w:rsid w:val="00FB1807"/>
    <w:rsid w:val="00FB2B02"/>
    <w:rsid w:val="00FB4311"/>
    <w:rsid w:val="00FB43DA"/>
    <w:rsid w:val="00FB5A3B"/>
    <w:rsid w:val="00FC1107"/>
    <w:rsid w:val="00FC19AC"/>
    <w:rsid w:val="00FC30EB"/>
    <w:rsid w:val="00FC5034"/>
    <w:rsid w:val="00FC786E"/>
    <w:rsid w:val="00FC7A92"/>
    <w:rsid w:val="00FC7B0A"/>
    <w:rsid w:val="00FE03EB"/>
    <w:rsid w:val="00FE125F"/>
    <w:rsid w:val="00FF064B"/>
    <w:rsid w:val="00FF24FC"/>
    <w:rsid w:val="00FF2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F7E212F90DD4F5FA3DDDC087B73442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F574BA50304838BABB263A50A50E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A69E54E539741169FEE26BB7FB6EE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AA0949F0F14CDEA7A5614F3A4E4A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8B225605B0B40BD8EC604E35EE83C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6D493A5C9544D769DB7EB15E3CA7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00E619BCB384B76A62138873AB4E4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DB3480368EC4B45A15753ABC343F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CAE1E131F2E4B76B77432A5C100F3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284C28C333945CF90C79DCB21B34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B7CCCFE842D4CB8A2C73C6D86DC47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A35A3B4E6D54437A90FDFDB4BC5C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CD5B5AE69D643F98605F967CD6064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22400A98D4484EA7BD55217410604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9723D882E9C49818769D95AA281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1D55045032E0471BB0DE3C832B5E16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5698A3CA62A4B918B228297B0E77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60B1DB49D2942619B0F9976ECAB23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68C9B3A6B9564E4281EFD1FB3AB025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]]></t:sse>
</t:template>
</file>

<file path=customXml/item4.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]]></m:sse>
</m:mapping>
</file>

<file path=customXml/item5.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王海英</clcid-mr:ZhuGuanKuaiJiGongZuoFuZeRenXingMing>
  <clcid-mr:KuaiJiJiGouFuZeRenXingMing xmlns:clcid-mr="clcid-mr">杜忠军</clcid-mr:KuaiJiJiGouFuZeRenXingMing>
  <clcid-cgi:GongSiFaDingDaiBiaoRen xmlns:clcid-cgi="clcid-cgi">陈有升</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12,712,709.88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-1,591,567.46</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1,918,640.56</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-1,955,967.45</clcid-pte:FeiJingChangXingSunYiDeKouChuXiangMuDuiSuoDeShuiDeYingXiang>
  <clcid-pte:FeiJingChangXingSunYiDeKouChuXiangMuDuiSuoDeShuiDeYingXiangShuoMing xmlns:clcid-pte="clcid-pte"/>
  <clcid-pte:KouChuDeFeiJingChangXingSunYiHeJi xmlns:clcid-pte="clcid-pte">11,083,815.53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6.xml><?xml version="1.0" encoding="utf-8"?>
<sc:sections xmlns:sc="http://mapping.word.org/2014/section/customiz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0735A-CCF0-4944-B9DB-87D144907D93}">
  <ds:schemaRefs/>
</ds:datastoreItem>
</file>

<file path=customXml/itemProps3.xml><?xml version="1.0" encoding="utf-8"?>
<ds:datastoreItem xmlns:ds="http://schemas.openxmlformats.org/officeDocument/2006/customXml" ds:itemID="{269CCF13-E288-47DB-A950-0B7979BF21B7}">
  <ds:schemaRefs/>
</ds:datastoreItem>
</file>

<file path=customXml/itemProps4.xml><?xml version="1.0" encoding="utf-8"?>
<ds:datastoreItem xmlns:ds="http://schemas.openxmlformats.org/officeDocument/2006/customXml" ds:itemID="{FAE6C4E1-B223-442B-AED4-3BD6D568051B}">
  <ds:schemaRefs/>
</ds:datastoreItem>
</file>

<file path=customXml/itemProps5.xml><?xml version="1.0" encoding="utf-8"?>
<ds:datastoreItem xmlns:ds="http://schemas.openxmlformats.org/officeDocument/2006/customXml" ds:itemID="{89EBAB94-44A0-46A2-B712-30D997D04A6D}">
  <ds:schemaRefs/>
</ds:datastoreItem>
</file>

<file path=customXml/itemProps6.xml><?xml version="1.0" encoding="utf-8"?>
<ds:datastoreItem xmlns:ds="http://schemas.openxmlformats.org/officeDocument/2006/customXml" ds:itemID="{1F37729E-89F6-4D70-BC0B-8EF77515B409}">
  <ds:schemaRefs/>
</ds:datastoreItem>
</file>

<file path=docProps/app.xml><?xml version="1.0" encoding="utf-8"?>
<Properties xmlns="http://schemas.openxmlformats.org/officeDocument/2006/extended-properties" xmlns:vt="http://schemas.openxmlformats.org/officeDocument/2006/docPropsVTypes">
  <Template>SSEReport.dotm</Template>
  <Company>Sky123.Org</Company>
  <Pages>99</Pages>
  <Words>18340</Words>
  <Characters>104544</Characters>
  <Lines>871</Lines>
  <Paragraphs>245</Paragraphs>
  <TotalTime>376</TotalTime>
  <ScaleCrop>false</ScaleCrop>
  <LinksUpToDate>false</LinksUpToDate>
  <CharactersWithSpaces>122639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2018-08-10T07:33:00Z</dcterms:created>
  <dc:creator>czq</dc:creator>
  <cp:lastModifiedBy>Administrator</cp:lastModifiedBy>
  <cp:lastPrinted>2018-08-13T01:53:00Z</cp:lastPrinted>
  <dcterms:modified xsi:type="dcterms:W3CDTF">2018-08-14T06:46:25Z</dcterms:modified>
  <dc:title>股份有限公司</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